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E6C33">
      <w:pPr>
        <w:pStyle w:val="49"/>
        <w:framePr w:wrap="around"/>
        <w:rPr>
          <w:rFonts w:ascii="Times New Roman" w:hAnsi="Times New Roman"/>
        </w:rPr>
      </w:pPr>
      <w:r>
        <w:rPr>
          <w:rFonts w:ascii="Times New Roman" w:hAnsi="Times New Roman"/>
        </w:rPr>
        <w:t>ICS </w:t>
      </w:r>
      <w:r>
        <w:rPr>
          <w:rFonts w:hint="eastAsia" w:hAnsi="黑体"/>
        </w:rPr>
        <w:t>81.080</w:t>
      </w:r>
    </w:p>
    <w:p w14:paraId="6169B066">
      <w:pPr>
        <w:pStyle w:val="49"/>
        <w:framePr w:wrap="around"/>
        <w:rPr>
          <w:rFonts w:ascii="Times New Roman" w:hAnsi="Times New Roman"/>
        </w:rPr>
      </w:pPr>
      <w:r>
        <w:rPr>
          <w:rFonts w:hint="eastAsia" w:ascii="Times New Roman" w:hAnsi="Times New Roman"/>
        </w:rPr>
        <w:t xml:space="preserve">CCS Q </w:t>
      </w:r>
      <w:r>
        <w:rPr>
          <w:rFonts w:hint="eastAsia" w:hAnsi="黑体"/>
        </w:rPr>
        <w:t>44</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7FC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tcPr>
          <w:p w14:paraId="2EA12B06">
            <w:pPr>
              <w:pStyle w:val="49"/>
              <w:keepNext w:val="0"/>
              <w:keepLines w:val="0"/>
              <w:framePr w:wrap="around"/>
              <w:suppressLineNumbers w:val="0"/>
              <w:spacing w:before="0" w:beforeAutospacing="0" w:after="0" w:afterAutospacing="0"/>
              <w:ind w:left="0" w:right="0"/>
              <w:rPr>
                <w:rFonts w:hint="default" w:ascii="Times New Roman" w:hAnsi="Times New Roman"/>
              </w:rPr>
            </w:pPr>
            <w:r>
              <w:rPr>
                <w:rFonts w:hint="default" w:ascii="Times New Roman" w:hAnsi="Times New Roman"/>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5"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55CAAA95">
                                  <w:pPr>
                                    <w:rPr>
                                      <w:rFonts w:hint="eastAsia"/>
                                    </w:rPr>
                                  </w:pPr>
                                </w:p>
                              </w:txbxContent>
                            </wps:txbx>
                            <wps:bodyPr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yK4v7NUAAAAHAQAA&#10;DwAAAAAAAAABACAAAAAiAAAAZHJzL2Rvd25yZXYueG1sUEsBAhQAFAAAAAgAh07iQIcAeeWqAQAA&#10;ZAMAAA4AAAAAAAAAAQAgAAAAJAEAAGRycy9lMm9Eb2MueG1sUEsFBgAAAAAGAAYAWQEAAEAFAAAA&#10;AA==&#10;">
                      <v:fill on="t" focussize="0,0"/>
                      <v:stroke on="f"/>
                      <v:imagedata o:title=""/>
                      <o:lock v:ext="edit" aspectratio="f"/>
                      <v:textbox>
                        <w:txbxContent>
                          <w:p w14:paraId="55CAAA95">
                            <w:pPr>
                              <w:rPr>
                                <w:rFonts w:hint="eastAsia"/>
                              </w:rPr>
                            </w:pPr>
                          </w:p>
                        </w:txbxContent>
                      </v:textbox>
                    </v:rect>
                  </w:pict>
                </mc:Fallback>
              </mc:AlternateContent>
            </w:r>
            <w:r>
              <w:rPr>
                <w:rFonts w:hint="default" w:ascii="Times New Roman" w:hAnsi="Times New Roman"/>
              </w:rPr>
              <w:fldChar w:fldCharType="begin">
                <w:ffData>
                  <w:name w:val="BAH"/>
                  <w:enabled/>
                  <w:calcOnExit w:val="0"/>
                  <w:textInput/>
                </w:ffData>
              </w:fldChar>
            </w:r>
            <w:bookmarkStart w:id="0" w:name="BAH"/>
            <w:r>
              <w:rPr>
                <w:rFonts w:hint="default" w:ascii="Times New Roman" w:hAnsi="Times New Roman"/>
              </w:rPr>
              <w:instrText xml:space="preserve">FORMTEXT</w:instrText>
            </w:r>
            <w:r>
              <w:rPr>
                <w:rFonts w:hint="default" w:ascii="Times New Roman" w:hAnsi="Times New Roman"/>
              </w:rPr>
              <w:fldChar w:fldCharType="separate"/>
            </w:r>
            <w:r>
              <w:rPr>
                <w:rFonts w:hint="default" w:ascii="Times New Roman" w:hAnsi="Times New Roman"/>
              </w:rPr>
              <w:t>     </w:t>
            </w:r>
            <w:r>
              <w:rPr>
                <w:rFonts w:hint="default" w:ascii="Times New Roman" w:hAnsi="Times New Roman"/>
              </w:rPr>
              <w:fldChar w:fldCharType="end"/>
            </w:r>
            <w:bookmarkEnd w:id="0"/>
          </w:p>
        </w:tc>
      </w:tr>
    </w:tbl>
    <w:p w14:paraId="23ABA478">
      <w:pPr>
        <w:pStyle w:val="35"/>
        <w:framePr w:wrap="around" w:vAnchor="page" w:hAnchor="page" w:x="8430" w:y="1171"/>
        <w:rPr>
          <w:rFonts w:ascii="Times New Roman" w:hAnsi="Times New Roman"/>
        </w:rPr>
      </w:pPr>
      <w:r>
        <w:rPr>
          <w:rFonts w:ascii="Times New Roman" w:hAnsi="Times New Roman"/>
        </w:rPr>
        <w:fldChar w:fldCharType="begin">
          <w:ffData>
            <w:name w:val="c1"/>
            <w:enabled/>
            <w:calcOnExit w:val="0"/>
            <w:textInput>
              <w:maxLength w:val="2"/>
            </w:textInput>
          </w:ffData>
        </w:fldChar>
      </w:r>
      <w:bookmarkStart w:id="1" w:name="c1"/>
      <w:r>
        <w:rPr>
          <w:rFonts w:ascii="Times New Roman" w:hAnsi="Times New Roman"/>
        </w:rPr>
        <w:instrText xml:space="preserve">FORMTEXT</w:instrText>
      </w:r>
      <w:r>
        <w:rPr>
          <w:rFonts w:ascii="Times New Roman" w:hAnsi="Times New Roman"/>
        </w:rPr>
        <w:fldChar w:fldCharType="separate"/>
      </w:r>
      <w:r>
        <w:rPr>
          <w:rFonts w:ascii="Times New Roman" w:hAnsi="Times New Roman"/>
        </w:rPr>
        <w:t>JC</w:t>
      </w:r>
      <w:r>
        <w:rPr>
          <w:rFonts w:ascii="Times New Roman" w:hAnsi="Times New Roman"/>
        </w:rPr>
        <w:fldChar w:fldCharType="end"/>
      </w:r>
      <w:bookmarkEnd w:id="1"/>
    </w:p>
    <w:p w14:paraId="0AD16371">
      <w:pPr>
        <w:pStyle w:val="45"/>
        <w:framePr w:w="9639" w:h="618" w:wrap="around" w:y="2371"/>
        <w:rPr>
          <w:rFonts w:ascii="Times New Roman" w:hAnsi="Times New Roman"/>
        </w:rPr>
      </w:pPr>
      <w:r>
        <w:rPr>
          <w:rFonts w:ascii="Times New Roman" w:hAnsi="Times New Roman"/>
        </w:rPr>
        <w:t>中华人民共和国</w:t>
      </w:r>
      <w:bookmarkStart w:id="2" w:name="c2"/>
      <w:r>
        <w:rPr>
          <w:rFonts w:ascii="Times New Roman" w:hAnsi="Times New Roman"/>
          <w:color w:val="000000" w:themeColor="text1"/>
          <w14:textFill>
            <w14:solidFill>
              <w14:schemeClr w14:val="tx1"/>
            </w14:solidFill>
          </w14:textFill>
        </w:rPr>
        <w:fldChar w:fldCharType="begin">
          <w:ffData>
            <w:name w:val="c2"/>
            <w:enabled/>
            <w:calcOnExit w:val="0"/>
            <w:entryMacro w:val="showhelp11"/>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hint="eastAsia" w:ascii="Times New Roman" w:hAnsi="Times New Roman"/>
          <w:color w:val="000000" w:themeColor="text1"/>
          <w14:textFill>
            <w14:solidFill>
              <w14:schemeClr w14:val="tx1"/>
            </w14:solidFill>
          </w14:textFill>
        </w:rPr>
        <w:t>建材</w:t>
      </w:r>
      <w:r>
        <w:rPr>
          <w:rFonts w:ascii="Times New Roman" w:hAnsi="Times New Roman"/>
          <w:color w:val="000000" w:themeColor="text1"/>
          <w14:textFill>
            <w14:solidFill>
              <w14:schemeClr w14:val="tx1"/>
            </w14:solidFill>
          </w14:textFill>
        </w:rPr>
        <w:fldChar w:fldCharType="end"/>
      </w:r>
      <w:bookmarkEnd w:id="2"/>
      <w:r>
        <w:rPr>
          <w:rFonts w:ascii="Times New Roman" w:hAnsi="Times New Roman"/>
        </w:rPr>
        <w:t>行业标准</w:t>
      </w:r>
    </w:p>
    <w:p w14:paraId="1DE0A358">
      <w:pPr>
        <w:pStyle w:val="23"/>
        <w:framePr w:w="9639" w:wrap="around" w:x="1419"/>
        <w:rPr>
          <w:rFonts w:ascii="Times New Roman" w:hAnsi="Times New Roman"/>
        </w:rPr>
      </w:pPr>
      <w:r>
        <w:rPr>
          <w:rFonts w:ascii="Times New Roman" w:hAnsi="Times New Roman"/>
        </w:rPr>
        <w:fldChar w:fldCharType="begin">
          <w:ffData>
            <w:name w:val="StdNo0"/>
            <w:enabled/>
            <w:calcOnExit w:val="0"/>
            <w:textInput>
              <w:default w:val="XX"/>
              <w:maxLength w:val="2"/>
            </w:textInput>
          </w:ffData>
        </w:fldChar>
      </w:r>
      <w:bookmarkStart w:id="3" w:name="StdNo0"/>
      <w:r>
        <w:rPr>
          <w:rFonts w:ascii="Times New Roman" w:hAnsi="Times New Roman"/>
        </w:rPr>
        <w:instrText xml:space="preserve">FORMTEXT</w:instrText>
      </w:r>
      <w:r>
        <w:rPr>
          <w:rFonts w:ascii="Times New Roman" w:hAnsi="Times New Roman"/>
        </w:rPr>
        <w:fldChar w:fldCharType="separate"/>
      </w:r>
      <w:r>
        <w:rPr>
          <w:rFonts w:ascii="Times New Roman" w:hAnsi="Times New Roman"/>
        </w:rPr>
        <w:t>JC</w:t>
      </w:r>
      <w:r>
        <w:rPr>
          <w:rFonts w:ascii="Times New Roman" w:hAnsi="Times New Roman"/>
        </w:rPr>
        <w:fldChar w:fldCharType="end"/>
      </w:r>
      <w:bookmarkEnd w:id="3"/>
      <w:r>
        <w:rPr>
          <w:rFonts w:ascii="Times New Roman" w:hAnsi="Times New Roman"/>
        </w:rPr>
        <w:t xml:space="preserve">/T </w:t>
      </w:r>
      <w:r>
        <w:rPr>
          <w:rFonts w:hint="eastAsia" w:hAnsi="黑体"/>
        </w:rPr>
        <w:t>494</w:t>
      </w:r>
      <w:r>
        <w:rPr>
          <w:rFonts w:ascii="Times New Roman" w:hAnsi="Times New Roman"/>
        </w:rPr>
        <w:t>—</w:t>
      </w:r>
      <w:r>
        <w:rPr>
          <w:rFonts w:ascii="Times New Roman" w:hAnsi="Times New Roman"/>
        </w:rPr>
        <w:fldChar w:fldCharType="begin">
          <w:ffData>
            <w:name w:val="StdNo2"/>
            <w:enabled/>
            <w:calcOnExit w:val="0"/>
            <w:textInput>
              <w:default w:val="XXXX"/>
              <w:maxLength w:val="4"/>
            </w:textInput>
          </w:ffData>
        </w:fldChar>
      </w:r>
      <w:bookmarkStart w:id="4" w:name="StdNo2"/>
      <w:r>
        <w:rPr>
          <w:rFonts w:ascii="Times New Roman" w:hAnsi="Times New Roman"/>
        </w:rPr>
        <w:instrText xml:space="preserve">FORMTEXT</w:instrText>
      </w:r>
      <w:r>
        <w:rPr>
          <w:rFonts w:ascii="Times New Roman" w:hAnsi="Times New Roman"/>
        </w:rPr>
        <w:fldChar w:fldCharType="separate"/>
      </w:r>
      <w:r>
        <w:rPr>
          <w:rFonts w:ascii="Times New Roman" w:hAnsi="Times New Roman"/>
        </w:rPr>
        <w:t>XXXX</w:t>
      </w:r>
      <w:r>
        <w:rPr>
          <w:rFonts w:ascii="Times New Roman" w:hAnsi="Times New Roman"/>
        </w:rPr>
        <w:fldChar w:fldCharType="end"/>
      </w:r>
      <w:bookmarkEnd w:id="4"/>
    </w:p>
    <w:p w14:paraId="4DE730C6">
      <w:pPr>
        <w:pStyle w:val="23"/>
        <w:framePr w:w="9639" w:wrap="around" w:x="1419"/>
        <w:spacing w:before="0"/>
        <w:rPr>
          <w:rFonts w:hint="eastAsia" w:hAnsi="黑体"/>
          <w:sz w:val="21"/>
          <w:szCs w:val="21"/>
        </w:rPr>
      </w:pPr>
      <w:r>
        <w:rPr>
          <w:rFonts w:hint="eastAsia" w:hAnsi="黑体"/>
          <w:sz w:val="21"/>
          <w:szCs w:val="21"/>
        </w:rPr>
        <w:t>代替</w:t>
      </w:r>
      <w:r>
        <w:rPr>
          <w:rFonts w:ascii="Times New Roman" w:hAnsi="Times New Roman"/>
          <w:sz w:val="21"/>
          <w:szCs w:val="21"/>
        </w:rPr>
        <w:t>JC/T</w:t>
      </w:r>
      <w:r>
        <w:rPr>
          <w:rFonts w:hAnsi="黑体"/>
          <w:sz w:val="21"/>
          <w:szCs w:val="21"/>
        </w:rPr>
        <w:t xml:space="preserve"> </w:t>
      </w:r>
      <w:r>
        <w:rPr>
          <w:rFonts w:hint="eastAsia" w:hAnsi="黑体"/>
          <w:sz w:val="21"/>
          <w:szCs w:val="21"/>
        </w:rPr>
        <w:t>494</w:t>
      </w:r>
      <w:r>
        <w:rPr>
          <w:rFonts w:hAnsi="黑体"/>
          <w:sz w:val="21"/>
          <w:szCs w:val="21"/>
        </w:rPr>
        <w:t>-20</w:t>
      </w:r>
      <w:r>
        <w:rPr>
          <w:rFonts w:hint="eastAsia" w:hAnsi="黑体"/>
          <w:sz w:val="21"/>
          <w:szCs w:val="21"/>
        </w:rPr>
        <w:t>1</w:t>
      </w:r>
      <w:r>
        <w:rPr>
          <w:rFonts w:hAnsi="黑体"/>
          <w:sz w:val="21"/>
          <w:szCs w:val="21"/>
        </w:rPr>
        <w:t>3</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8"/>
      </w:tblGrid>
      <w:tr w14:paraId="71D3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8" w:type="dxa"/>
            <w:tcBorders>
              <w:top w:val="nil"/>
              <w:left w:val="nil"/>
              <w:bottom w:val="nil"/>
              <w:right w:val="nil"/>
            </w:tcBorders>
          </w:tcPr>
          <w:p w14:paraId="3946F28C">
            <w:pPr>
              <w:pStyle w:val="38"/>
              <w:keepNext w:val="0"/>
              <w:keepLines w:val="0"/>
              <w:framePr w:w="9639" w:wrap="around" w:x="1419"/>
              <w:widowControl/>
              <w:suppressLineNumbers w:val="0"/>
              <w:wordWrap w:val="0"/>
              <w:spacing w:beforeAutospacing="0" w:after="0" w:afterAutospacing="0"/>
              <w:ind w:left="0" w:right="0"/>
              <w:rPr>
                <w:rFonts w:hint="eastAsia" w:ascii="黑体" w:hAnsi="黑体" w:eastAsia="黑体"/>
              </w:rPr>
            </w:pPr>
            <w:r>
              <w:rPr>
                <w:rFonts w:hint="default" w:ascii="Times New Roman" w:hAnsi="Times New Roman"/>
              </w:rPr>
              <mc:AlternateContent>
                <mc:Choice Requires="wps">
                  <w:drawing>
                    <wp:anchor distT="0" distB="0" distL="114300" distR="114300" simplePos="0" relativeHeight="251665408" behindDoc="0" locked="0" layoutInCell="1" allowOverlap="1">
                      <wp:simplePos x="0" y="0"/>
                      <wp:positionH relativeFrom="column">
                        <wp:posOffset>-25400</wp:posOffset>
                      </wp:positionH>
                      <wp:positionV relativeFrom="paragraph">
                        <wp:posOffset>86995</wp:posOffset>
                      </wp:positionV>
                      <wp:extent cx="6121400" cy="635"/>
                      <wp:effectExtent l="0" t="0" r="31750" b="37465"/>
                      <wp:wrapNone/>
                      <wp:docPr id="7" name="直线 11"/>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2pt;margin-top:6.85pt;height:0.05pt;width:482pt;z-index:251665408;mso-width-relative:page;mso-height-relative:page;" filled="f" stroked="t" coordsize="21600,21600" o:gfxdata="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X2IArWAAAACAEAAA8A&#10;AAAAAAAAAQAgAAAAIgAAAGRycy9kb3ducmV2LnhtbFBLAQIUABQAAAAIAIdO4kBUifS34AEAANID&#10;AAAOAAAAAAAAAAEAIAAAACUBAABkcnMvZTJvRG9jLnhtbFBLBQYAAAAABgAGAFkBAAB3BQAAAAA=&#10;">
                      <v:fill on="f" focussize="0,0"/>
                      <v:stroke color="#000000" joinstyle="round"/>
                      <v:imagedata o:title=""/>
                      <o:lock v:ext="edit" aspectratio="f"/>
                    </v:line>
                  </w:pict>
                </mc:Fallback>
              </mc:AlternateContent>
            </w:r>
          </w:p>
        </w:tc>
      </w:tr>
    </w:tbl>
    <w:p w14:paraId="63252C40">
      <w:pPr>
        <w:pStyle w:val="23"/>
        <w:framePr w:w="9639" w:wrap="around" w:x="1419"/>
        <w:rPr>
          <w:rFonts w:ascii="Times New Roman" w:hAnsi="Times New Roman"/>
        </w:rPr>
      </w:pPr>
    </w:p>
    <w:p w14:paraId="241F77E1">
      <w:pPr>
        <w:pStyle w:val="23"/>
        <w:framePr w:w="9639" w:wrap="around" w:x="1419"/>
        <w:rPr>
          <w:rFonts w:ascii="Times New Roman" w:hAnsi="Times New Roman"/>
        </w:rPr>
      </w:pPr>
    </w:p>
    <w:p w14:paraId="6646CA67">
      <w:pPr>
        <w:pStyle w:val="30"/>
        <w:framePr w:wrap="around"/>
        <w:rPr>
          <w:rFonts w:ascii="Times New Roman" w:hAnsi="Times New Roman"/>
        </w:rPr>
      </w:pPr>
      <w:r>
        <w:rPr>
          <w:rFonts w:hint="eastAsia" w:ascii="Times New Roman" w:hAnsi="Times New Roman"/>
        </w:rPr>
        <w:t>玻璃熔窑用熔铸氧化铝耐火制品</w:t>
      </w:r>
    </w:p>
    <w:p w14:paraId="44CFBF30">
      <w:pPr>
        <w:pStyle w:val="29"/>
        <w:framePr w:wrap="around"/>
        <w:spacing w:before="156" w:after="156"/>
        <w:rPr>
          <w:rFonts w:hAnsi="Times New Roman"/>
          <w:color w:val="000000" w:themeColor="text1"/>
          <w14:textFill>
            <w14:solidFill>
              <w14:schemeClr w14:val="tx1"/>
            </w14:solidFill>
          </w14:textFill>
        </w:rPr>
      </w:pPr>
      <w:r>
        <w:rPr>
          <w:rFonts w:hint="eastAsia" w:hAnsi="Times New Roman"/>
          <w:color w:val="000000" w:themeColor="text1"/>
          <w14:textFill>
            <w14:solidFill>
              <w14:schemeClr w14:val="tx1"/>
            </w14:solidFill>
          </w14:textFill>
        </w:rPr>
        <w:t>Fused cast alumina refractories for glass furnace</w:t>
      </w:r>
    </w:p>
    <w:p w14:paraId="70E6723F">
      <w:pPr>
        <w:pStyle w:val="29"/>
        <w:framePr w:wrap="around"/>
        <w:rPr>
          <w:rFonts w:hAnsi="Times New Roman"/>
        </w:rPr>
      </w:pPr>
    </w:p>
    <w:p w14:paraId="53B9C49C">
      <w:pPr>
        <w:pStyle w:val="28"/>
        <w:framePr w:wrap="around"/>
        <w:rPr>
          <w:rFonts w:ascii="Times New Roman" w:hAnsi="Times New Roman"/>
        </w:rPr>
      </w:pPr>
      <w:r>
        <w:rPr>
          <w:rFonts w:ascii="Times New Roman" w:hAnsi="Times New Roman"/>
        </w:rPr>
        <w:fldChar w:fldCharType="begin">
          <w:ffData>
            <w:name w:val="YZBS"/>
            <w:enabled/>
            <w:calcOnExit w:val="0"/>
            <w:textInput>
              <w:default w:val="点击此处添加与国际标准一致性程度的标识"/>
            </w:textInput>
          </w:ffData>
        </w:fldChar>
      </w:r>
      <w:bookmarkStart w:id="5" w:name="YZBS"/>
      <w:r>
        <w:rPr>
          <w:rFonts w:ascii="Times New Roman" w:hAnsi="Times New Roman"/>
        </w:rPr>
        <w:instrText xml:space="preserve">FORMTEXT</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bookmarkEnd w:id="5"/>
    </w:p>
    <w:tbl>
      <w:tblPr>
        <w:tblStyle w:val="11"/>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29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Borders>
              <w:top w:val="nil"/>
              <w:left w:val="nil"/>
              <w:bottom w:val="nil"/>
              <w:right w:val="nil"/>
            </w:tcBorders>
          </w:tcPr>
          <w:p w14:paraId="18B879E7">
            <w:pPr>
              <w:pStyle w:val="32"/>
              <w:keepNext w:val="0"/>
              <w:keepLines w:val="0"/>
              <w:framePr w:wrap="around"/>
              <w:suppressLineNumbers w:val="0"/>
              <w:spacing w:beforeAutospacing="0" w:afterAutospacing="0"/>
              <w:ind w:left="0" w:right="0"/>
              <w:rPr>
                <w:rFonts w:hint="default" w:ascii="Times New Roman" w:hAnsi="Times New Roman"/>
              </w:rPr>
            </w:pPr>
            <w:r>
              <w:rPr>
                <w:rFonts w:hint="default" w:ascii="Times New Roman" w:hAnsi="Times New Roman"/>
              </w:rPr>
              <mc:AlternateContent>
                <mc:Choice Requires="wps">
                  <w:drawing>
                    <wp:anchor distT="0" distB="0" distL="114300" distR="114300" simplePos="0" relativeHeight="251662336" behindDoc="1" locked="1" layoutInCell="1" allowOverlap="1">
                      <wp:simplePos x="0" y="0"/>
                      <wp:positionH relativeFrom="column">
                        <wp:posOffset>2201545</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0131CFCE">
                                  <w:pPr>
                                    <w:rPr>
                                      <w:rFonts w:hint="eastAsia"/>
                                    </w:rPr>
                                  </w:pPr>
                                </w:p>
                              </w:txbxContent>
                            </wps:txbx>
                            <wps:bodyPr upright="1"/>
                          </wps:wsp>
                        </a:graphicData>
                      </a:graphic>
                    </wp:anchor>
                  </w:drawing>
                </mc:Choice>
                <mc:Fallback>
                  <w:pict>
                    <v:rect id="RQ" o:spid="_x0000_s1026" o:spt="1" style="position:absolute;left:0pt;margin-left:173.35pt;margin-top:45.15pt;height:20pt;width:150pt;z-index:-251654144;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RcjTDWAAAACgEAAA8AAAAA&#10;AAAAAQAgAAAAIgAAAGRycy9kb3ducmV2LnhtbFBLAQIUABQAAAAIAIdO4kAr7k3IpAEAAGQDAAAO&#10;AAAAAAAAAAEAIAAAACUBAABkcnMvZTJvRG9jLnhtbFBLBQYAAAAABgAGAFkBAAA7BQAAAAA=&#10;">
                      <v:fill on="t" focussize="0,0"/>
                      <v:stroke on="f"/>
                      <v:imagedata o:title=""/>
                      <o:lock v:ext="edit" aspectratio="f"/>
                      <v:textbox>
                        <w:txbxContent>
                          <w:p w14:paraId="0131CFCE">
                            <w:pPr>
                              <w:rPr>
                                <w:rFonts w:hint="eastAsia"/>
                              </w:rPr>
                            </w:pPr>
                          </w:p>
                        </w:txbxContent>
                      </v:textbox>
                      <w10:anchorlock/>
                    </v:rect>
                  </w:pict>
                </mc:Fallback>
              </mc:AlternateContent>
            </w:r>
            <w:r>
              <w:rPr>
                <w:rFonts w:hint="default" w:ascii="Times New Roman" w:hAnsi="Times New Roman"/>
              </w:rPr>
              <mc:AlternateContent>
                <mc:Choice Requires="wps">
                  <w:drawing>
                    <wp:anchor distT="0" distB="0" distL="114300" distR="114300" simplePos="0" relativeHeight="251661312" behindDoc="1" locked="0" layoutInCell="1" allowOverlap="1">
                      <wp:simplePos x="0" y="0"/>
                      <wp:positionH relativeFrom="column">
                        <wp:posOffset>2455545</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17A729D3">
                                  <w:pPr>
                                    <w:rPr>
                                      <w:rFonts w:hint="eastAsia"/>
                                    </w:rPr>
                                  </w:pPr>
                                </w:p>
                              </w:txbxContent>
                            </wps:txbx>
                            <wps:bodyPr upright="1"/>
                          </wps:wsp>
                        </a:graphicData>
                      </a:graphic>
                    </wp:anchor>
                  </w:drawing>
                </mc:Choice>
                <mc:Fallback>
                  <w:pict>
                    <v:rect id="LB" o:spid="_x0000_s1026" o:spt="1" style="position:absolute;left:0pt;margin-left:193.35pt;margin-top:20.15pt;height:24pt;width:100pt;z-index:-251655168;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MIvodcAAAAJAQAADwAA&#10;AAAAAAABACAAAAAiAAAAZHJzL2Rvd25yZXYueG1sUEsBAhQAFAAAAAgAh07iQFCYl5mlAQAAZAMA&#10;AA4AAAAAAAAAAQAgAAAAJgEAAGRycy9lMm9Eb2MueG1sUEsFBgAAAAAGAAYAWQEAAD0FAAAAAA==&#10;">
                      <v:fill on="t" focussize="0,0"/>
                      <v:stroke on="f"/>
                      <v:imagedata o:title=""/>
                      <o:lock v:ext="edit" aspectratio="f"/>
                      <v:textbox>
                        <w:txbxContent>
                          <w:p w14:paraId="17A729D3">
                            <w:pPr>
                              <w:rPr>
                                <w:rFonts w:hint="eastAsia"/>
                              </w:rPr>
                            </w:pPr>
                          </w:p>
                        </w:txbxContent>
                      </v:textbox>
                    </v:rect>
                  </w:pict>
                </mc:Fallback>
              </mc:AlternateContent>
            </w:r>
            <w:r>
              <w:rPr>
                <w:rFonts w:hint="default" w:ascii="Times New Roman" w:hAnsi="Times New Roman"/>
              </w:rPr>
              <w:t>（</w:t>
            </w:r>
            <w:r>
              <w:rPr>
                <w:rFonts w:hint="eastAsia" w:ascii="Times New Roman" w:hAnsi="Times New Roman"/>
                <w:lang w:val="en-US" w:eastAsia="zh-CN"/>
              </w:rPr>
              <w:t>征求意见稿</w:t>
            </w:r>
            <w:bookmarkStart w:id="259" w:name="_GoBack"/>
            <w:bookmarkEnd w:id="259"/>
            <w:r>
              <w:rPr>
                <w:rFonts w:hint="default" w:ascii="Times New Roman" w:hAnsi="Times New Roman"/>
              </w:rPr>
              <w:t>）</w:t>
            </w:r>
          </w:p>
        </w:tc>
      </w:tr>
      <w:tr w14:paraId="1766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14:paraId="64C5E81C">
            <w:pPr>
              <w:pStyle w:val="31"/>
              <w:keepNext w:val="0"/>
              <w:keepLines w:val="0"/>
              <w:framePr w:wrap="around"/>
              <w:suppressLineNumbers w:val="0"/>
              <w:spacing w:beforeAutospacing="0" w:afterAutospacing="0"/>
              <w:ind w:left="0" w:right="0"/>
              <w:rPr>
                <w:rFonts w:hint="default" w:ascii="Times New Roman" w:hAnsi="Times New Roman"/>
              </w:rPr>
            </w:pPr>
          </w:p>
        </w:tc>
      </w:tr>
    </w:tbl>
    <w:p w14:paraId="4CBFFC9B">
      <w:pPr>
        <w:pStyle w:val="34"/>
        <w:framePr w:wrap="around"/>
        <w:rPr>
          <w:rFonts w:ascii="Times New Roman" w:hAnsi="Times New Roman"/>
        </w:rPr>
      </w:pPr>
      <w:r>
        <w:rPr>
          <w:rFonts w:hint="eastAsia" w:ascii="黑体"/>
        </w:rPr>
        <w:fldChar w:fldCharType="begin">
          <w:ffData>
            <w:name w:val="SY"/>
            <w:enabled/>
            <w:calcOnExit w:val="0"/>
            <w:textInput>
              <w:default w:val="XXXX"/>
              <w:maxLength w:val="4"/>
            </w:textInput>
          </w:ffData>
        </w:fldChar>
      </w:r>
      <w:r>
        <w:rPr>
          <w:rFonts w:hint="eastAsia" w:ascii="黑体"/>
        </w:rPr>
        <w:instrText xml:space="preserve">FORMTEXT</w:instrText>
      </w:r>
      <w:r>
        <w:rPr>
          <w:rFonts w:hint="eastAsia" w:ascii="黑体"/>
        </w:rPr>
        <w:fldChar w:fldCharType="separate"/>
      </w:r>
      <w:r>
        <w:rPr>
          <w:rFonts w:hint="eastAsia" w:ascii="黑体"/>
        </w:rPr>
        <w:t>XXXX</w:t>
      </w:r>
      <w:r>
        <w:rPr>
          <w:rFonts w:hint="eastAsia" w:ascii="黑体"/>
        </w:rPr>
        <w:fldChar w:fldCharType="end"/>
      </w:r>
      <w:r>
        <w:rPr>
          <w:rFonts w:ascii="Times New Roman" w:hAnsi="Times New Roman"/>
        </w:rPr>
        <mc:AlternateContent>
          <mc:Choice Requires="wps">
            <w:drawing>
              <wp:anchor distT="0" distB="0" distL="114300" distR="114300" simplePos="0" relativeHeight="251664384" behindDoc="0" locked="1" layoutInCell="1" allowOverlap="1">
                <wp:simplePos x="0" y="0"/>
                <wp:positionH relativeFrom="column">
                  <wp:posOffset>-11430</wp:posOffset>
                </wp:positionH>
                <wp:positionV relativeFrom="page">
                  <wp:posOffset>9253220</wp:posOffset>
                </wp:positionV>
                <wp:extent cx="6121400" cy="635"/>
                <wp:effectExtent l="0" t="0" r="12700" b="18415"/>
                <wp:wrapNone/>
                <wp:docPr id="6" name="直线 10"/>
                <wp:cNvGraphicFramePr/>
                <a:graphic xmlns:a="http://schemas.openxmlformats.org/drawingml/2006/main">
                  <a:graphicData uri="http://schemas.microsoft.com/office/word/2010/wordprocessingShape">
                    <wps:wsp>
                      <wps:cNvCnPr/>
                      <wps:spPr>
                        <a:xfrm>
                          <a:off x="0" y="0"/>
                          <a:ext cx="61214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9pt;margin-top:728.6pt;height:0.05pt;width:482pt;mso-position-vertical-relative:page;z-index:251664384;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NHiyTZAAAADAEA&#10;AA8AAAAAAAAAAQAgAAAAIgAAAGRycy9kb3ducmV2LnhtbFBLAQIUABQAAAAIAIdO4kCwaTw44AEA&#10;ANIDAAAOAAAAAAAAAAEAIAAAACgBAABkcnMvZTJvRG9jLnhtbFBLBQYAAAAABgAGAFkBAAB6BQAA&#10;AAA=&#10;">
                <v:fill on="f" focussize="0,0"/>
                <v:stroke color="#000000" joinstyle="round"/>
                <v:imagedata o:title=""/>
                <o:lock v:ext="edit" aspectratio="f"/>
                <w10:anchorlock/>
              </v:line>
            </w:pict>
          </mc:Fallback>
        </mc:AlternateContent>
      </w:r>
      <w:r>
        <w:rPr>
          <w:rFonts w:ascii="Times New Roman" w:hAnsi="Times New Roman"/>
        </w:rPr>
        <w:t xml:space="preserve"> -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ascii="Times New Roman" w:hAnsi="Times New Roman"/>
        </w:rPr>
        <w:t xml:space="preserve"> -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ascii="Times New Roman" w:hAnsi="Times New Roman"/>
        </w:rPr>
        <w:t>发布</w:t>
      </w:r>
    </w:p>
    <w:p w14:paraId="7C4A9BF3">
      <w:pPr>
        <w:pStyle w:val="50"/>
        <w:framePr w:wrap="around"/>
        <w:rPr>
          <w:rFonts w:ascii="Times New Roman" w:hAnsi="Times New Roman"/>
        </w:rPr>
      </w:pP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ascii="Times New Roman" w:hAnsi="Times New Roman"/>
        </w:rPr>
        <w:t xml:space="preserve"> -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ascii="Times New Roman" w:hAnsi="Times New Roman"/>
        </w:rPr>
        <w:t xml:space="preserve"> -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r>
        <w:rPr>
          <w:rFonts w:ascii="Times New Roman" w:hAnsi="Times New Roman"/>
        </w:rPr>
        <w:t>实施</w:t>
      </w:r>
    </w:p>
    <w:p w14:paraId="554DAAB8">
      <w:pPr>
        <w:pStyle w:val="44"/>
        <w:framePr w:wrap="around"/>
        <w:rPr>
          <w:rFonts w:ascii="Times New Roman" w:hAnsi="Times New Roman"/>
        </w:rPr>
      </w:pPr>
      <w:r>
        <w:rPr>
          <w:rFonts w:ascii="Times New Roman" w:hAnsi="Times New Roman"/>
        </w:rPr>
        <w:fldChar w:fldCharType="begin">
          <w:ffData>
            <w:name w:val="fm"/>
            <w:enabled/>
            <w:calcOnExit w:val="0"/>
            <w:textInput/>
          </w:ffData>
        </w:fldChar>
      </w:r>
      <w:bookmarkStart w:id="6" w:name="fm"/>
      <w:r>
        <w:rPr>
          <w:rFonts w:ascii="Times New Roman" w:hAnsi="Times New Roman"/>
        </w:rPr>
        <w:instrText xml:space="preserve">FORMTEXT</w:instrText>
      </w:r>
      <w:r>
        <w:rPr>
          <w:rFonts w:ascii="Times New Roman" w:hAnsi="Times New Roman"/>
        </w:rPr>
        <w:fldChar w:fldCharType="separate"/>
      </w:r>
      <w:r>
        <w:rPr>
          <w:rFonts w:ascii="Times New Roman" w:hAnsi="Times New Roman"/>
        </w:rPr>
        <w:t>中华人民共和国工业和信息化部</w:t>
      </w:r>
      <w:r>
        <w:rPr>
          <w:rFonts w:ascii="Times New Roman" w:hAnsi="Times New Roman"/>
        </w:rPr>
        <w:fldChar w:fldCharType="end"/>
      </w:r>
      <w:bookmarkEnd w:id="6"/>
      <w:r>
        <w:rPr>
          <w:rFonts w:ascii="Times New Roman" w:hAnsi="Times New Roman"/>
        </w:rPr>
        <w:t>   </w:t>
      </w:r>
      <w:r>
        <w:rPr>
          <w:rStyle w:val="20"/>
          <w:rFonts w:ascii="Times New Roman" w:hAnsi="Times New Roman"/>
        </w:rPr>
        <w:t>发布</w:t>
      </w:r>
    </w:p>
    <w:p w14:paraId="1F9B2EFC">
      <w:pPr>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sdt>
      <w:sdtPr>
        <w:rPr>
          <w:rFonts w:ascii="宋体" w:hAnsi="宋体" w:eastAsia="宋体" w:cstheme="minorBidi"/>
          <w:kern w:val="2"/>
          <w:sz w:val="21"/>
          <w:szCs w:val="22"/>
        </w:rPr>
        <w:id w:val="147465623"/>
        <w15:color w:val="DBDBDB"/>
        <w:docPartObj>
          <w:docPartGallery w:val="Table of Contents"/>
          <w:docPartUnique/>
        </w:docPartObj>
      </w:sdtPr>
      <w:sdtEndPr>
        <w:rPr>
          <w:rFonts w:ascii="宋体" w:hAnsi="宋体" w:eastAsia="宋体" w:cstheme="minorBidi"/>
          <w:kern w:val="2"/>
          <w:sz w:val="21"/>
          <w:szCs w:val="22"/>
        </w:rPr>
      </w:sdtEndPr>
      <w:sdtContent>
        <w:p w14:paraId="3DA17972">
          <w:pPr>
            <w:pStyle w:val="54"/>
            <w:tabs>
              <w:tab w:val="center" w:pos="4677"/>
              <w:tab w:val="left" w:pos="8524"/>
            </w:tabs>
          </w:pPr>
          <w:bookmarkStart w:id="7" w:name="_Toc21886"/>
          <w:bookmarkStart w:id="8" w:name="_Toc9481"/>
          <w:bookmarkStart w:id="9" w:name="_Toc18968"/>
          <w:bookmarkStart w:id="10" w:name="_Toc21162"/>
          <w:r>
            <w:rPr>
              <w:rFonts w:hint="eastAsia" w:ascii="黑体" w:hAnsi="黑体" w:eastAsia="黑体" w:cs="黑体"/>
            </w:rPr>
            <w:t>目  次</w:t>
          </w:r>
          <w:bookmarkEnd w:id="7"/>
          <w:bookmarkEnd w:id="8"/>
          <w:bookmarkEnd w:id="9"/>
          <w:bookmarkEnd w:id="10"/>
          <w:r>
            <w:fldChar w:fldCharType="begin"/>
          </w:r>
          <w:r>
            <w:instrText xml:space="preserve">TOC \o "1-3" \h \u </w:instrText>
          </w:r>
          <w:r>
            <w:fldChar w:fldCharType="separate"/>
          </w:r>
        </w:p>
        <w:p w14:paraId="37D4B72E">
          <w:pPr>
            <w:pStyle w:val="9"/>
            <w:keepNext w:val="0"/>
            <w:keepLines w:val="0"/>
            <w:pageBreakBefore w:val="0"/>
            <w:widowControl w:val="0"/>
            <w:tabs>
              <w:tab w:val="right" w:leader="dot" w:pos="9354"/>
              <w:tab w:val="clear" w:pos="9241"/>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_Toc16949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hAnsi="宋体" w:cs="宋体"/>
              <w:lang w:val="en-US" w:eastAsia="zh-CN"/>
            </w:rPr>
            <w:t>I</w:t>
          </w:r>
          <w:r>
            <w:rPr>
              <w:rFonts w:hint="eastAsia" w:ascii="宋体" w:hAnsi="宋体" w:eastAsia="宋体" w:cs="宋体"/>
            </w:rPr>
            <w:fldChar w:fldCharType="end"/>
          </w:r>
          <w:r>
            <w:rPr>
              <w:rFonts w:hint="eastAsia" w:hAnsi="宋体" w:cs="宋体"/>
              <w:lang w:val="en-US" w:eastAsia="zh-CN"/>
            </w:rPr>
            <w:t>I</w:t>
          </w:r>
        </w:p>
        <w:p w14:paraId="645A8B55">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_Toc7056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_Toc7056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518ADCA8">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_Toc11886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_Toc11886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6A5455E">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_Toc24761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lang w:val="en-US" w:eastAsia="zh-CN"/>
            </w:rPr>
            <w:t xml:space="preserve">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_Toc24761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71F494A5">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_Toc29207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分类与标记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_Toc29207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29F3AE7">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_Toc21400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_Toc21400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C5B90CF">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_Toc29884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lang w:val="en-US" w:eastAsia="zh-CN"/>
            </w:rPr>
            <w:t xml:space="preserve">  </w:t>
          </w:r>
          <w:r>
            <w:rPr>
              <w:rFonts w:hint="eastAsia" w:ascii="宋体" w:hAnsi="宋体" w:eastAsia="宋体" w:cs="宋体"/>
            </w:rPr>
            <w:t>取样方法</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14:paraId="75A96B7D">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_Toc29076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lang w:val="en-US" w:eastAsia="zh-CN"/>
            </w:rPr>
            <w:t xml:space="preserve">  </w:t>
          </w:r>
          <w:r>
            <w:rPr>
              <w:rFonts w:hint="eastAsia" w:ascii="宋体" w:hAnsi="宋体" w:eastAsia="宋体" w:cs="宋体"/>
            </w:rPr>
            <w:t>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_Toc29076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18347949">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_Toc15987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lang w:val="en-US" w:eastAsia="zh-CN"/>
            </w:rPr>
            <w:t xml:space="preserve">  </w:t>
          </w:r>
          <w:r>
            <w:rPr>
              <w:rFonts w:hint="eastAsia" w:ascii="宋体" w:hAnsi="宋体" w:eastAsia="宋体" w:cs="宋体"/>
            </w:rPr>
            <w:t>检验规则</w:t>
          </w:r>
          <w:r>
            <w:rPr>
              <w:rFonts w:hint="eastAsia" w:ascii="宋体" w:hAnsi="宋体" w:eastAsia="宋体" w:cs="宋体"/>
            </w:rPr>
            <w:tab/>
          </w:r>
          <w:r>
            <w:rPr>
              <w:rFonts w:hint="eastAsia" w:ascii="宋体" w:hAnsi="宋体" w:eastAsia="宋体" w:cs="宋体"/>
              <w:lang w:val="en-US" w:eastAsia="zh-CN"/>
            </w:rPr>
            <w:t>8</w:t>
          </w:r>
          <w:r>
            <w:rPr>
              <w:rFonts w:hint="eastAsia" w:ascii="宋体" w:hAnsi="宋体" w:eastAsia="宋体" w:cs="宋体"/>
            </w:rPr>
            <w:fldChar w:fldCharType="end"/>
          </w:r>
        </w:p>
        <w:p w14:paraId="220BC831">
          <w:pPr>
            <w:pStyle w:val="4"/>
            <w:keepNext w:val="0"/>
            <w:keepLines w:val="0"/>
            <w:pageBreakBefore w:val="0"/>
            <w:widowControl w:val="0"/>
            <w:tabs>
              <w:tab w:val="right" w:leader="dot" w:pos="9354"/>
              <w:tab w:val="clear" w:pos="9241"/>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_Toc1194 </w:instrText>
          </w:r>
          <w:r>
            <w:rPr>
              <w:rFonts w:hint="eastAsia" w:ascii="宋体" w:hAnsi="宋体" w:eastAsia="宋体" w:cs="宋体"/>
            </w:rPr>
            <w:fldChar w:fldCharType="separate"/>
          </w:r>
          <w:r>
            <w:rPr>
              <w:rFonts w:hint="eastAsia" w:ascii="宋体" w:hAnsi="宋体" w:eastAsia="宋体" w:cs="宋体"/>
            </w:rPr>
            <w:t>8.1</w:t>
          </w:r>
          <w:r>
            <w:rPr>
              <w:rFonts w:hint="eastAsia" w:hAnsi="宋体" w:cs="宋体"/>
              <w:lang w:val="en-US" w:eastAsia="zh-CN"/>
            </w:rPr>
            <w:t xml:space="preserve">  </w:t>
          </w:r>
          <w:r>
            <w:rPr>
              <w:rFonts w:hint="eastAsia" w:ascii="宋体" w:hAnsi="宋体" w:eastAsia="宋体" w:cs="宋体"/>
            </w:rPr>
            <w:t>检验分类</w:t>
          </w:r>
          <w:r>
            <w:rPr>
              <w:rFonts w:hint="eastAsia" w:ascii="宋体" w:hAnsi="宋体" w:eastAsia="宋体" w:cs="宋体"/>
            </w:rPr>
            <w:tab/>
          </w:r>
          <w:r>
            <w:rPr>
              <w:rFonts w:hint="eastAsia" w:hAnsi="宋体" w:cs="宋体"/>
              <w:lang w:val="en-US" w:eastAsia="zh-CN"/>
            </w:rPr>
            <w:t>8</w:t>
          </w:r>
          <w:r>
            <w:rPr>
              <w:rFonts w:hint="eastAsia" w:ascii="宋体" w:hAnsi="宋体" w:eastAsia="宋体" w:cs="宋体"/>
            </w:rPr>
            <w:fldChar w:fldCharType="end"/>
          </w:r>
        </w:p>
        <w:p w14:paraId="154DDA01">
          <w:pPr>
            <w:pStyle w:val="4"/>
            <w:keepNext w:val="0"/>
            <w:keepLines w:val="0"/>
            <w:pageBreakBefore w:val="0"/>
            <w:widowControl w:val="0"/>
            <w:tabs>
              <w:tab w:val="right" w:leader="dot" w:pos="9354"/>
              <w:tab w:val="clear" w:pos="9241"/>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_Toc10674 </w:instrText>
          </w:r>
          <w:r>
            <w:rPr>
              <w:rFonts w:hint="eastAsia" w:ascii="宋体" w:hAnsi="宋体" w:eastAsia="宋体" w:cs="宋体"/>
            </w:rPr>
            <w:fldChar w:fldCharType="separate"/>
          </w:r>
          <w:r>
            <w:rPr>
              <w:rFonts w:hint="eastAsia" w:ascii="宋体" w:hAnsi="宋体" w:eastAsia="宋体" w:cs="宋体"/>
            </w:rPr>
            <w:t>8.2</w:t>
          </w:r>
          <w:r>
            <w:rPr>
              <w:rFonts w:hint="eastAsia" w:hAnsi="宋体" w:cs="宋体"/>
              <w:lang w:val="en-US" w:eastAsia="zh-CN"/>
            </w:rPr>
            <w:t xml:space="preserve">  </w:t>
          </w:r>
          <w:r>
            <w:rPr>
              <w:rFonts w:hint="eastAsia" w:ascii="宋体" w:hAnsi="宋体" w:eastAsia="宋体" w:cs="宋体"/>
            </w:rPr>
            <w:t>组批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_Toc10674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4786B5D">
          <w:pPr>
            <w:pStyle w:val="4"/>
            <w:keepNext w:val="0"/>
            <w:keepLines w:val="0"/>
            <w:pageBreakBefore w:val="0"/>
            <w:widowControl w:val="0"/>
            <w:tabs>
              <w:tab w:val="right" w:leader="dot" w:pos="9354"/>
              <w:tab w:val="clear" w:pos="9241"/>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_Toc3945 </w:instrText>
          </w:r>
          <w:r>
            <w:rPr>
              <w:rFonts w:hint="eastAsia" w:ascii="宋体" w:hAnsi="宋体" w:eastAsia="宋体" w:cs="宋体"/>
            </w:rPr>
            <w:fldChar w:fldCharType="separate"/>
          </w:r>
          <w:r>
            <w:rPr>
              <w:rFonts w:hint="eastAsia" w:ascii="宋体" w:hAnsi="宋体" w:eastAsia="宋体" w:cs="宋体"/>
            </w:rPr>
            <w:t>8.</w:t>
          </w:r>
          <w:r>
            <w:rPr>
              <w:rFonts w:hint="eastAsia" w:hAnsi="宋体" w:cs="宋体"/>
              <w:lang w:val="en-US" w:eastAsia="zh-CN"/>
            </w:rPr>
            <w:t xml:space="preserve">3  </w:t>
          </w:r>
          <w:r>
            <w:rPr>
              <w:rFonts w:hint="eastAsia" w:ascii="宋体" w:hAnsi="宋体" w:eastAsia="宋体" w:cs="宋体"/>
            </w:rPr>
            <w:t>抽样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_Toc3945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D511957">
          <w:pPr>
            <w:pStyle w:val="4"/>
            <w:keepNext w:val="0"/>
            <w:keepLines w:val="0"/>
            <w:pageBreakBefore w:val="0"/>
            <w:widowControl w:val="0"/>
            <w:tabs>
              <w:tab w:val="right" w:leader="dot" w:pos="9354"/>
              <w:tab w:val="clear" w:pos="9241"/>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_Toc23563 </w:instrText>
          </w:r>
          <w:r>
            <w:rPr>
              <w:rFonts w:hint="eastAsia" w:ascii="宋体" w:hAnsi="宋体" w:eastAsia="宋体" w:cs="宋体"/>
            </w:rPr>
            <w:fldChar w:fldCharType="separate"/>
          </w:r>
          <w:r>
            <w:rPr>
              <w:rFonts w:hint="eastAsia" w:ascii="宋体" w:hAnsi="宋体" w:eastAsia="宋体" w:cs="宋体"/>
            </w:rPr>
            <w:t xml:space="preserve">8.4 </w:t>
          </w:r>
          <w:r>
            <w:rPr>
              <w:rFonts w:hint="eastAsia" w:hAnsi="宋体" w:cs="宋体"/>
              <w:lang w:val="en-US" w:eastAsia="zh-CN"/>
            </w:rPr>
            <w:t xml:space="preserve"> </w:t>
          </w:r>
          <w:r>
            <w:rPr>
              <w:rFonts w:hint="eastAsia" w:ascii="宋体" w:hAnsi="宋体" w:eastAsia="宋体" w:cs="宋体"/>
            </w:rPr>
            <w:t>合格判定规则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_Toc23563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5DE7C25">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_Toc12296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lang w:val="en-US" w:eastAsia="zh-CN"/>
            </w:rPr>
            <w:t xml:space="preserve">  </w:t>
          </w:r>
          <w:r>
            <w:rPr>
              <w:rFonts w:hint="eastAsia" w:ascii="宋体" w:hAnsi="宋体" w:eastAsia="宋体" w:cs="宋体"/>
            </w:rPr>
            <w:t>标志、包装、运输、储存和质量证明书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_Toc12296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075D1CF3">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_Toc21620 </w:instrText>
          </w:r>
          <w:r>
            <w:rPr>
              <w:rFonts w:hint="eastAsia" w:ascii="宋体" w:hAnsi="宋体" w:eastAsia="宋体" w:cs="宋体"/>
            </w:rPr>
            <w:fldChar w:fldCharType="separate"/>
          </w:r>
          <w:r>
            <w:rPr>
              <w:rFonts w:hint="eastAsia" w:ascii="宋体" w:hAnsi="宋体" w:eastAsia="宋体" w:cs="宋体"/>
              <w:szCs w:val="21"/>
            </w:rPr>
            <w:t>附录</w:t>
          </w:r>
          <w:r>
            <w:rPr>
              <w:rFonts w:hint="eastAsia" w:ascii="宋体" w:hAnsi="宋体" w:eastAsia="宋体" w:cs="宋体"/>
              <w:szCs w:val="21"/>
              <w:lang w:val="en-US" w:eastAsia="zh-CN"/>
            </w:rPr>
            <w:t>A（规范性） 玻璃熔窑用熔铸氧化铝耐火制品容重计算方法</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r>
            <w:rPr>
              <w:rFonts w:hint="eastAsia" w:ascii="宋体" w:hAnsi="宋体" w:eastAsia="宋体" w:cs="宋体"/>
              <w:lang w:val="en-US" w:eastAsia="zh-CN"/>
            </w:rPr>
            <w:t>0</w:t>
          </w:r>
        </w:p>
        <w:p w14:paraId="00DCA3D5">
          <w:pPr>
            <w:pStyle w:val="10"/>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ind w:left="0" w:leftChars="0" w:firstLine="0" w:firstLineChars="0"/>
            <w:textAlignment w:val="auto"/>
            <w:rPr>
              <w:rFonts w:hint="eastAsia" w:ascii="宋体" w:hAnsi="宋体" w:eastAsia="宋体" w:cs="宋体"/>
              <w:lang w:val="en-US" w:eastAsia="zh-CN"/>
            </w:rPr>
          </w:pPr>
        </w:p>
        <w:p w14:paraId="764FAEE5">
          <w:pPr>
            <w:rPr>
              <w:rFonts w:hint="eastAsia"/>
              <w:lang w:val="en-US" w:eastAsia="zh-CN"/>
            </w:rPr>
          </w:pPr>
        </w:p>
        <w:p w14:paraId="28678087">
          <w:pPr>
            <w:pStyle w:val="4"/>
            <w:tabs>
              <w:tab w:val="right" w:leader="dot" w:pos="9354"/>
              <w:tab w:val="clear" w:pos="9241"/>
            </w:tabs>
          </w:pPr>
        </w:p>
        <w:p w14:paraId="6EB7F7D1">
          <w:pPr>
            <w:rPr>
              <w:rFonts w:hint="eastAsia"/>
            </w:rPr>
          </w:pPr>
          <w:r>
            <w:fldChar w:fldCharType="end"/>
          </w:r>
        </w:p>
      </w:sdtContent>
    </w:sdt>
    <w:p w14:paraId="22AAED6F">
      <w:pPr>
        <w:rPr>
          <w:rFonts w:hint="eastAsia"/>
        </w:rPr>
      </w:pPr>
    </w:p>
    <w:p w14:paraId="1263935E">
      <w:pPr>
        <w:pStyle w:val="54"/>
        <w:tabs>
          <w:tab w:val="center" w:pos="4677"/>
          <w:tab w:val="left" w:pos="8524"/>
        </w:tabs>
        <w:rPr>
          <w:rFonts w:hint="eastAsia" w:hAnsi="黑体"/>
        </w:rPr>
      </w:pPr>
      <w:bookmarkStart w:id="11" w:name="_Toc16949"/>
      <w:bookmarkStart w:id="12" w:name="_Toc24003"/>
      <w:r>
        <w:rPr>
          <w:rFonts w:hAnsi="黑体"/>
        </w:rPr>
        <w:t>前</w:t>
      </w:r>
      <w:bookmarkStart w:id="13" w:name="BKQY"/>
      <w:r>
        <w:rPr>
          <w:rFonts w:ascii="Times New Roman" w:hAnsi="Times New Roman" w:eastAsia="MS Mincho"/>
        </w:rPr>
        <w:t>  </w:t>
      </w:r>
      <w:r>
        <w:rPr>
          <w:rFonts w:hAnsi="黑体"/>
        </w:rPr>
        <w:t>言</w:t>
      </w:r>
      <w:bookmarkEnd w:id="11"/>
      <w:bookmarkEnd w:id="12"/>
      <w:bookmarkEnd w:id="13"/>
    </w:p>
    <w:p w14:paraId="11194109">
      <w:pPr>
        <w:pStyle w:val="18"/>
        <w:rPr>
          <w:rFonts w:hint="eastAsia" w:hAnsi="宋体"/>
        </w:rPr>
      </w:pPr>
      <w:r>
        <w:rPr>
          <w:rFonts w:hAnsi="宋体"/>
        </w:rPr>
        <w:t>本</w:t>
      </w:r>
      <w:r>
        <w:rPr>
          <w:rFonts w:hint="eastAsia" w:hAnsi="宋体"/>
        </w:rPr>
        <w:t>文件</w:t>
      </w:r>
      <w:r>
        <w:rPr>
          <w:rFonts w:hAnsi="宋体"/>
        </w:rPr>
        <w:t>按照</w:t>
      </w:r>
      <w:r>
        <w:rPr>
          <w:rFonts w:ascii="Times New Roman" w:hAnsi="Times New Roman"/>
        </w:rPr>
        <w:t>GB/T</w:t>
      </w:r>
      <w:r>
        <w:rPr>
          <w:rFonts w:hAnsi="宋体"/>
        </w:rPr>
        <w:t xml:space="preserve"> 1.1-2020《标准化工作导则  第1部分：标准化文件的结构和起草规则》的规定起草。</w:t>
      </w:r>
    </w:p>
    <w:p w14:paraId="7CEA29BF">
      <w:pPr>
        <w:pStyle w:val="18"/>
        <w:rPr>
          <w:rFonts w:hint="eastAsia" w:hAnsi="宋体"/>
        </w:rPr>
      </w:pPr>
      <w:r>
        <w:rPr>
          <w:rFonts w:hAnsi="宋体"/>
        </w:rPr>
        <w:t>本</w:t>
      </w:r>
      <w:r>
        <w:rPr>
          <w:rFonts w:hint="eastAsia" w:hAnsi="宋体"/>
        </w:rPr>
        <w:t>文件</w:t>
      </w:r>
      <w:r>
        <w:rPr>
          <w:rFonts w:hAnsi="宋体"/>
        </w:rPr>
        <w:t>代替</w:t>
      </w:r>
      <w:r>
        <w:rPr>
          <w:rFonts w:ascii="Times New Roman" w:hAnsi="Times New Roman"/>
        </w:rPr>
        <w:t>JC/T</w:t>
      </w:r>
      <w:r>
        <w:rPr>
          <w:rFonts w:hAnsi="宋体"/>
        </w:rPr>
        <w:t xml:space="preserve"> </w:t>
      </w:r>
      <w:r>
        <w:rPr>
          <w:rFonts w:hint="eastAsia" w:hAnsi="宋体"/>
        </w:rPr>
        <w:t>494</w:t>
      </w:r>
      <w:r>
        <w:rPr>
          <w:rFonts w:hAnsi="宋体"/>
        </w:rPr>
        <w:t>-20</w:t>
      </w:r>
      <w:r>
        <w:rPr>
          <w:rFonts w:hint="eastAsia" w:hAnsi="宋体"/>
        </w:rPr>
        <w:t>1</w:t>
      </w:r>
      <w:r>
        <w:rPr>
          <w:rFonts w:hAnsi="宋体"/>
        </w:rPr>
        <w:t>3《</w:t>
      </w:r>
      <w:r>
        <w:rPr>
          <w:rFonts w:hint="eastAsia" w:hAnsi="宋体"/>
        </w:rPr>
        <w:t>玻璃熔窑用熔铸氧化铝耐火制品</w:t>
      </w:r>
      <w:r>
        <w:rPr>
          <w:rFonts w:hAnsi="宋体"/>
        </w:rPr>
        <w:t>》</w:t>
      </w:r>
      <w:r>
        <w:rPr>
          <w:rFonts w:hint="eastAsia" w:hAnsi="宋体"/>
        </w:rPr>
        <w:t>。本文件</w:t>
      </w:r>
      <w:r>
        <w:rPr>
          <w:rFonts w:hAnsi="宋体"/>
        </w:rPr>
        <w:t>与</w:t>
      </w:r>
      <w:r>
        <w:rPr>
          <w:rFonts w:ascii="Times New Roman" w:hAnsi="Times New Roman"/>
        </w:rPr>
        <w:t>JC/T</w:t>
      </w:r>
      <w:r>
        <w:rPr>
          <w:rFonts w:hAnsi="宋体"/>
        </w:rPr>
        <w:t xml:space="preserve"> </w:t>
      </w:r>
      <w:r>
        <w:rPr>
          <w:rFonts w:hint="eastAsia" w:hAnsi="宋体"/>
        </w:rPr>
        <w:t>494</w:t>
      </w:r>
      <w:r>
        <w:rPr>
          <w:rFonts w:hAnsi="宋体"/>
        </w:rPr>
        <w:t>-20</w:t>
      </w:r>
      <w:r>
        <w:rPr>
          <w:rFonts w:hint="eastAsia" w:hAnsi="宋体"/>
        </w:rPr>
        <w:t>1</w:t>
      </w:r>
      <w:r>
        <w:rPr>
          <w:rFonts w:hAnsi="宋体"/>
        </w:rPr>
        <w:t>3相比，除结构调整和编辑性改动外，主要技术变化如下：</w:t>
      </w:r>
    </w:p>
    <w:p w14:paraId="7292C800">
      <w:pPr>
        <w:pStyle w:val="18"/>
        <w:numPr>
          <w:ilvl w:val="0"/>
          <w:numId w:val="7"/>
        </w:numPr>
        <w:rPr>
          <w:rFonts w:ascii="Times New Roman" w:hAnsi="Times New Roman"/>
          <w:highlight w:val="none"/>
        </w:rPr>
      </w:pPr>
      <w:r>
        <w:rPr>
          <w:rFonts w:hint="eastAsia" w:ascii="Times New Roman" w:hAnsi="Times New Roman"/>
          <w:highlight w:val="none"/>
          <w:lang w:val="en-US" w:eastAsia="zh-CN"/>
        </w:rPr>
        <w:t>增加了“准无缩孔浇铸”方法及示意图（见4.1.2）；</w:t>
      </w:r>
    </w:p>
    <w:p w14:paraId="49235281">
      <w:pPr>
        <w:pStyle w:val="18"/>
        <w:numPr>
          <w:ilvl w:val="0"/>
          <w:numId w:val="7"/>
        </w:numPr>
        <w:rPr>
          <w:rFonts w:ascii="Times New Roman" w:hAnsi="Times New Roman"/>
          <w:highlight w:val="none"/>
        </w:rPr>
      </w:pPr>
      <w:r>
        <w:rPr>
          <w:rFonts w:ascii="Times New Roman" w:hAnsi="Times New Roman"/>
          <w:highlight w:val="none"/>
        </w:rPr>
        <w:t>更改了</w:t>
      </w:r>
      <w:r>
        <w:rPr>
          <w:rFonts w:hint="eastAsia" w:ascii="Times New Roman" w:hAnsi="Times New Roman"/>
          <w:highlight w:val="none"/>
          <w:lang w:eastAsia="zh-CN"/>
        </w:rPr>
        <w:t>“标记”的类型（见</w:t>
      </w:r>
      <w:r>
        <w:rPr>
          <w:rFonts w:hint="eastAsia" w:ascii="Times New Roman" w:hAnsi="Times New Roman"/>
          <w:highlight w:val="none"/>
          <w:lang w:val="en-US" w:eastAsia="zh-CN"/>
        </w:rPr>
        <w:t>4.2，2013年版的4.2</w:t>
      </w:r>
      <w:r>
        <w:rPr>
          <w:rFonts w:hint="eastAsia" w:ascii="Times New Roman" w:hAnsi="Times New Roman"/>
          <w:highlight w:val="none"/>
          <w:lang w:eastAsia="zh-CN"/>
        </w:rPr>
        <w:t>）；</w:t>
      </w:r>
    </w:p>
    <w:p w14:paraId="480D9F22">
      <w:pPr>
        <w:pStyle w:val="18"/>
        <w:numPr>
          <w:ilvl w:val="0"/>
          <w:numId w:val="7"/>
        </w:numPr>
        <w:rPr>
          <w:rFonts w:ascii="Times New Roman" w:hAnsi="Times New Roman"/>
          <w:highlight w:val="none"/>
        </w:rPr>
      </w:pPr>
      <w:r>
        <w:rPr>
          <w:rFonts w:ascii="Times New Roman" w:hAnsi="Times New Roman"/>
          <w:highlight w:val="none"/>
        </w:rPr>
        <w:t>更改了</w:t>
      </w:r>
      <w:r>
        <w:rPr>
          <w:rFonts w:hint="eastAsia" w:hAnsi="宋体" w:cs="宋体"/>
          <w:highlight w:val="none"/>
        </w:rPr>
        <w:t>“制品的理化指标”的</w:t>
      </w:r>
      <w:r>
        <w:rPr>
          <w:rFonts w:ascii="Times New Roman" w:hAnsi="Times New Roman"/>
          <w:highlight w:val="none"/>
        </w:rPr>
        <w:t>RA-M</w:t>
      </w:r>
      <w:r>
        <w:rPr>
          <w:rFonts w:hint="eastAsia" w:hAnsi="宋体" w:cs="宋体"/>
          <w:highlight w:val="none"/>
        </w:rPr>
        <w:t>和</w:t>
      </w:r>
      <w:r>
        <w:rPr>
          <w:rFonts w:ascii="Times New Roman" w:hAnsi="Times New Roman"/>
          <w:highlight w:val="none"/>
        </w:rPr>
        <w:t>RA-H</w:t>
      </w:r>
      <w:r>
        <w:rPr>
          <w:rFonts w:hint="eastAsia" w:hAnsi="宋体" w:cs="宋体"/>
          <w:highlight w:val="none"/>
        </w:rPr>
        <w:t>的化学成分、</w:t>
      </w:r>
      <w:r>
        <w:rPr>
          <w:rFonts w:hint="eastAsia" w:hAnsi="宋体" w:cs="宋体"/>
          <w:highlight w:val="none"/>
          <w:lang w:eastAsia="zh-CN"/>
        </w:rPr>
        <w:t>致密部分</w:t>
      </w:r>
      <w:r>
        <w:rPr>
          <w:rFonts w:hint="eastAsia" w:hAnsi="宋体" w:cs="宋体"/>
          <w:highlight w:val="none"/>
        </w:rPr>
        <w:t>体积密度</w:t>
      </w:r>
      <w:r>
        <w:rPr>
          <w:rFonts w:hint="eastAsia" w:hAnsi="宋体" w:cs="宋体"/>
          <w:highlight w:val="none"/>
          <w:lang w:eastAsia="zh-CN"/>
        </w:rPr>
        <w:t>、</w:t>
      </w:r>
      <w:r>
        <w:rPr>
          <w:rFonts w:hint="eastAsia" w:hAnsi="宋体" w:cs="宋体"/>
          <w:highlight w:val="none"/>
        </w:rPr>
        <w:t>容重指标</w:t>
      </w:r>
      <w:r>
        <w:rPr>
          <w:rFonts w:ascii="Times New Roman" w:hAnsi="Times New Roman"/>
          <w:highlight w:val="none"/>
        </w:rPr>
        <w:t>（见</w:t>
      </w:r>
      <w:r>
        <w:rPr>
          <w:rFonts w:hint="eastAsia" w:hAnsi="宋体" w:cs="宋体"/>
          <w:highlight w:val="none"/>
        </w:rPr>
        <w:t>5.1</w:t>
      </w:r>
      <w:r>
        <w:rPr>
          <w:rFonts w:hint="eastAsia" w:hAnsi="宋体" w:cs="宋体"/>
          <w:highlight w:val="none"/>
          <w:lang w:val="en-US" w:eastAsia="zh-CN"/>
        </w:rPr>
        <w:t>.1</w:t>
      </w:r>
      <w:r>
        <w:rPr>
          <w:rFonts w:hint="eastAsia" w:hAnsi="宋体" w:cs="宋体"/>
          <w:highlight w:val="none"/>
        </w:rPr>
        <w:t>，2013</w:t>
      </w:r>
      <w:r>
        <w:rPr>
          <w:rFonts w:ascii="Times New Roman" w:hAnsi="Times New Roman"/>
          <w:highlight w:val="none"/>
        </w:rPr>
        <w:t>年版的</w:t>
      </w:r>
      <w:r>
        <w:rPr>
          <w:rFonts w:hint="eastAsia" w:hAnsi="宋体" w:cs="宋体"/>
          <w:highlight w:val="none"/>
        </w:rPr>
        <w:t>5.1</w:t>
      </w:r>
      <w:r>
        <w:rPr>
          <w:rFonts w:hint="eastAsia" w:hAnsi="宋体" w:cs="宋体"/>
          <w:highlight w:val="none"/>
          <w:lang w:val="en-US" w:eastAsia="zh-CN"/>
        </w:rPr>
        <w:t>.1</w:t>
      </w:r>
      <w:r>
        <w:rPr>
          <w:rFonts w:ascii="Times New Roman" w:hAnsi="Times New Roman"/>
          <w:highlight w:val="none"/>
        </w:rPr>
        <w:t>）</w:t>
      </w:r>
      <w:r>
        <w:rPr>
          <w:rFonts w:hint="eastAsia" w:hAnsi="宋体" w:cs="宋体"/>
          <w:highlight w:val="none"/>
        </w:rPr>
        <w:t>；</w:t>
      </w:r>
    </w:p>
    <w:p w14:paraId="10F71DA0">
      <w:pPr>
        <w:pStyle w:val="18"/>
        <w:numPr>
          <w:ilvl w:val="0"/>
          <w:numId w:val="7"/>
        </w:numPr>
        <w:rPr>
          <w:rFonts w:ascii="Times New Roman" w:hAnsi="Times New Roman"/>
          <w:highlight w:val="none"/>
        </w:rPr>
      </w:pPr>
      <w:r>
        <w:rPr>
          <w:rFonts w:hint="eastAsia" w:hAnsi="宋体" w:cs="宋体"/>
          <w:highlight w:val="none"/>
          <w:lang w:val="en-US" w:eastAsia="zh-CN"/>
        </w:rPr>
        <w:t>增加了“制品的理化指标”</w:t>
      </w:r>
      <w:r>
        <w:rPr>
          <w:rFonts w:ascii="Times New Roman" w:hAnsi="Times New Roman"/>
          <w:highlight w:val="none"/>
        </w:rPr>
        <w:t>RA-M</w:t>
      </w:r>
      <w:r>
        <w:rPr>
          <w:rFonts w:hint="eastAsia" w:hAnsi="宋体" w:cs="宋体"/>
          <w:highlight w:val="none"/>
          <w:lang w:val="en-US" w:eastAsia="zh-CN"/>
        </w:rPr>
        <w:t>的准无缩孔浇铸容重指标（见</w:t>
      </w:r>
      <w:r>
        <w:rPr>
          <w:rFonts w:hint="eastAsia" w:hAnsi="宋体" w:cs="宋体"/>
          <w:highlight w:val="none"/>
        </w:rPr>
        <w:t>5.1</w:t>
      </w:r>
      <w:r>
        <w:rPr>
          <w:rFonts w:hint="eastAsia" w:hAnsi="宋体" w:cs="宋体"/>
          <w:highlight w:val="none"/>
          <w:lang w:val="en-US" w:eastAsia="zh-CN"/>
        </w:rPr>
        <w:t>.1）；</w:t>
      </w:r>
    </w:p>
    <w:p w14:paraId="2C3BADDD">
      <w:pPr>
        <w:pStyle w:val="18"/>
        <w:numPr>
          <w:ilvl w:val="0"/>
          <w:numId w:val="7"/>
        </w:numPr>
        <w:rPr>
          <w:rFonts w:ascii="Times New Roman" w:hAnsi="Times New Roman"/>
          <w:highlight w:val="none"/>
        </w:rPr>
      </w:pPr>
      <w:r>
        <w:rPr>
          <w:rFonts w:hint="eastAsia" w:hAnsi="宋体" w:cs="宋体"/>
          <w:highlight w:val="none"/>
          <w:lang w:val="en-US" w:eastAsia="zh-CN"/>
        </w:rPr>
        <w:t>修改了“制品的尺寸允许偏差及外观质量”的缺角指标（见5.2.1）；</w:t>
      </w:r>
    </w:p>
    <w:p w14:paraId="5CAB29B2">
      <w:pPr>
        <w:pStyle w:val="18"/>
        <w:numPr>
          <w:ilvl w:val="0"/>
          <w:numId w:val="7"/>
        </w:numPr>
        <w:rPr>
          <w:rFonts w:ascii="Times New Roman" w:hAnsi="Times New Roman"/>
          <w:highlight w:val="none"/>
        </w:rPr>
      </w:pPr>
      <w:r>
        <w:rPr>
          <w:rFonts w:hint="eastAsia" w:ascii="Times New Roman" w:hAnsi="Times New Roman"/>
          <w:highlight w:val="none"/>
        </w:rPr>
        <w:t>增加了“</w:t>
      </w:r>
      <w:r>
        <w:rPr>
          <w:rFonts w:hint="eastAsia" w:hAnsi="宋体" w:cs="宋体"/>
          <w:color w:val="000000"/>
          <w:szCs w:val="21"/>
          <w:highlight w:val="none"/>
        </w:rPr>
        <w:t>制品的尺寸允许偏差及外观质量</w:t>
      </w:r>
      <w:r>
        <w:rPr>
          <w:rFonts w:hint="eastAsia" w:ascii="Times New Roman" w:hAnsi="Times New Roman"/>
          <w:highlight w:val="none"/>
        </w:rPr>
        <w:t>”的工作面裂纹、非工作面裂纹指标（见</w:t>
      </w:r>
      <w:r>
        <w:rPr>
          <w:rFonts w:hint="eastAsia" w:hAnsi="宋体" w:cs="宋体"/>
          <w:highlight w:val="none"/>
        </w:rPr>
        <w:t>5.2.1</w:t>
      </w:r>
      <w:r>
        <w:rPr>
          <w:rFonts w:hint="eastAsia" w:ascii="Times New Roman" w:hAnsi="Times New Roman"/>
          <w:highlight w:val="none"/>
        </w:rPr>
        <w:t>，</w:t>
      </w:r>
      <w:r>
        <w:rPr>
          <w:rFonts w:hint="eastAsia" w:hAnsi="宋体" w:cs="宋体"/>
          <w:highlight w:val="none"/>
        </w:rPr>
        <w:t>2013</w:t>
      </w:r>
      <w:r>
        <w:rPr>
          <w:rFonts w:ascii="Times New Roman" w:hAnsi="Times New Roman"/>
          <w:highlight w:val="none"/>
        </w:rPr>
        <w:t>年版的</w:t>
      </w:r>
      <w:r>
        <w:rPr>
          <w:rFonts w:hint="eastAsia" w:hAnsi="宋体" w:cs="宋体"/>
          <w:highlight w:val="none"/>
        </w:rPr>
        <w:t>5.2.1</w:t>
      </w:r>
      <w:r>
        <w:rPr>
          <w:rFonts w:hint="eastAsia" w:ascii="Times New Roman" w:hAnsi="Times New Roman"/>
          <w:highlight w:val="none"/>
        </w:rPr>
        <w:t>）；</w:t>
      </w:r>
    </w:p>
    <w:p w14:paraId="045F0555">
      <w:pPr>
        <w:pStyle w:val="18"/>
        <w:numPr>
          <w:ilvl w:val="0"/>
          <w:numId w:val="7"/>
        </w:numPr>
        <w:rPr>
          <w:rFonts w:ascii="Times New Roman" w:hAnsi="Times New Roman"/>
          <w:highlight w:val="none"/>
        </w:rPr>
      </w:pPr>
      <w:r>
        <w:rPr>
          <w:rFonts w:hint="eastAsia" w:ascii="Times New Roman" w:hAnsi="Times New Roman"/>
          <w:highlight w:val="none"/>
          <w:lang w:eastAsia="zh-CN"/>
        </w:rPr>
        <w:t>删除了“制品的尺寸允许偏差及外观质量”中对“爆皮”的要求（</w:t>
      </w:r>
      <w:r>
        <w:rPr>
          <w:rFonts w:hint="eastAsia" w:ascii="Times New Roman" w:hAnsi="Times New Roman"/>
          <w:highlight w:val="none"/>
        </w:rPr>
        <w:t>见</w:t>
      </w:r>
      <w:r>
        <w:rPr>
          <w:rFonts w:hint="eastAsia" w:hAnsi="宋体" w:cs="宋体"/>
          <w:highlight w:val="none"/>
        </w:rPr>
        <w:t>5.2.1</w:t>
      </w:r>
      <w:r>
        <w:rPr>
          <w:rFonts w:hint="eastAsia" w:ascii="Times New Roman" w:hAnsi="Times New Roman"/>
          <w:highlight w:val="none"/>
        </w:rPr>
        <w:t>，</w:t>
      </w:r>
      <w:r>
        <w:rPr>
          <w:rFonts w:hint="eastAsia" w:hAnsi="宋体" w:cs="宋体"/>
          <w:highlight w:val="none"/>
        </w:rPr>
        <w:t>2013</w:t>
      </w:r>
      <w:r>
        <w:rPr>
          <w:rFonts w:ascii="Times New Roman" w:hAnsi="Times New Roman"/>
          <w:highlight w:val="none"/>
        </w:rPr>
        <w:t>年版的</w:t>
      </w:r>
      <w:r>
        <w:rPr>
          <w:rFonts w:hint="eastAsia" w:hAnsi="宋体" w:cs="宋体"/>
          <w:highlight w:val="none"/>
        </w:rPr>
        <w:t>5.2.1</w:t>
      </w:r>
      <w:r>
        <w:rPr>
          <w:rFonts w:hint="eastAsia" w:ascii="Times New Roman" w:hAnsi="Times New Roman"/>
          <w:highlight w:val="none"/>
          <w:lang w:eastAsia="zh-CN"/>
        </w:rPr>
        <w:t>）；</w:t>
      </w:r>
    </w:p>
    <w:p w14:paraId="2C46DBD6">
      <w:pPr>
        <w:pStyle w:val="18"/>
        <w:numPr>
          <w:ilvl w:val="0"/>
          <w:numId w:val="7"/>
        </w:numPr>
        <w:rPr>
          <w:rFonts w:ascii="Times New Roman" w:hAnsi="Times New Roman"/>
          <w:highlight w:val="none"/>
        </w:rPr>
      </w:pPr>
      <w:r>
        <w:rPr>
          <w:rFonts w:hint="eastAsia" w:ascii="Times New Roman" w:hAnsi="Times New Roman"/>
          <w:highlight w:val="none"/>
        </w:rPr>
        <w:t>更改了“取样方法”的样</w:t>
      </w:r>
      <w:r>
        <w:rPr>
          <w:rFonts w:hint="eastAsia" w:ascii="Times New Roman" w:hAnsi="Times New Roman"/>
          <w:highlight w:val="none"/>
          <w:lang w:eastAsia="zh-CN"/>
        </w:rPr>
        <w:t>砖</w:t>
      </w:r>
      <w:r>
        <w:rPr>
          <w:rFonts w:hint="eastAsia" w:ascii="Times New Roman" w:hAnsi="Times New Roman"/>
          <w:highlight w:val="none"/>
        </w:rPr>
        <w:t>尺寸</w:t>
      </w:r>
      <w:r>
        <w:rPr>
          <w:rFonts w:hint="eastAsia" w:ascii="Times New Roman" w:hAnsi="Times New Roman"/>
          <w:highlight w:val="none"/>
          <w:lang w:eastAsia="zh-CN"/>
        </w:rPr>
        <w:t>及样砖示意图</w:t>
      </w:r>
      <w:r>
        <w:rPr>
          <w:rFonts w:hint="eastAsia" w:ascii="Times New Roman" w:hAnsi="Times New Roman"/>
          <w:highlight w:val="none"/>
        </w:rPr>
        <w:t>（见</w:t>
      </w:r>
      <w:r>
        <w:rPr>
          <w:rFonts w:hint="eastAsia" w:hAnsi="宋体" w:cs="宋体"/>
          <w:highlight w:val="none"/>
        </w:rPr>
        <w:t>6.</w:t>
      </w:r>
      <w:r>
        <w:rPr>
          <w:rFonts w:hint="eastAsia" w:hAnsi="宋体" w:cs="宋体"/>
          <w:highlight w:val="none"/>
          <w:lang w:val="en-US" w:eastAsia="zh-CN"/>
        </w:rPr>
        <w:t>1.2</w:t>
      </w:r>
      <w:r>
        <w:rPr>
          <w:rFonts w:ascii="Times New Roman" w:hAnsi="Times New Roman"/>
          <w:highlight w:val="none"/>
        </w:rPr>
        <w:t>，</w:t>
      </w:r>
      <w:r>
        <w:rPr>
          <w:rFonts w:hint="eastAsia" w:hAnsi="宋体" w:cs="宋体"/>
          <w:highlight w:val="none"/>
        </w:rPr>
        <w:t>2013</w:t>
      </w:r>
      <w:r>
        <w:rPr>
          <w:rFonts w:hint="eastAsia" w:ascii="Times New Roman" w:hAnsi="Times New Roman"/>
          <w:highlight w:val="none"/>
        </w:rPr>
        <w:t>年版的</w:t>
      </w:r>
      <w:r>
        <w:rPr>
          <w:rFonts w:hint="eastAsia" w:hAnsi="宋体" w:cs="宋体"/>
          <w:highlight w:val="none"/>
        </w:rPr>
        <w:t>6.</w:t>
      </w:r>
      <w:r>
        <w:rPr>
          <w:rFonts w:hint="eastAsia" w:hAnsi="宋体" w:cs="宋体"/>
          <w:highlight w:val="none"/>
          <w:lang w:val="en-US" w:eastAsia="zh-CN"/>
        </w:rPr>
        <w:t>1.2</w:t>
      </w:r>
      <w:r>
        <w:rPr>
          <w:rFonts w:hint="eastAsia" w:ascii="Times New Roman" w:hAnsi="Times New Roman"/>
          <w:highlight w:val="none"/>
        </w:rPr>
        <w:t>）；</w:t>
      </w:r>
    </w:p>
    <w:p w14:paraId="328A1BC5">
      <w:pPr>
        <w:pStyle w:val="18"/>
        <w:numPr>
          <w:ilvl w:val="0"/>
          <w:numId w:val="7"/>
        </w:numPr>
        <w:rPr>
          <w:rFonts w:ascii="Times New Roman" w:hAnsi="Times New Roman"/>
          <w:highlight w:val="none"/>
        </w:rPr>
      </w:pPr>
      <w:r>
        <w:rPr>
          <w:rFonts w:hint="eastAsia" w:ascii="Times New Roman" w:hAnsi="Times New Roman"/>
          <w:highlight w:val="none"/>
        </w:rPr>
        <w:t>更改了“取样方法”的样块尺寸（见</w:t>
      </w:r>
      <w:r>
        <w:rPr>
          <w:rFonts w:hint="eastAsia" w:hAnsi="宋体" w:cs="宋体"/>
          <w:highlight w:val="none"/>
        </w:rPr>
        <w:t>6.2</w:t>
      </w:r>
      <w:r>
        <w:rPr>
          <w:rFonts w:ascii="Times New Roman" w:hAnsi="Times New Roman"/>
          <w:highlight w:val="none"/>
        </w:rPr>
        <w:t>，</w:t>
      </w:r>
      <w:r>
        <w:rPr>
          <w:rFonts w:hint="eastAsia" w:hAnsi="宋体" w:cs="宋体"/>
          <w:highlight w:val="none"/>
        </w:rPr>
        <w:t>2013</w:t>
      </w:r>
      <w:r>
        <w:rPr>
          <w:rFonts w:hint="eastAsia" w:ascii="Times New Roman" w:hAnsi="Times New Roman"/>
          <w:highlight w:val="none"/>
        </w:rPr>
        <w:t>年版的</w:t>
      </w:r>
      <w:r>
        <w:rPr>
          <w:rFonts w:hint="eastAsia" w:hAnsi="宋体" w:cs="宋体"/>
          <w:highlight w:val="none"/>
        </w:rPr>
        <w:t>6.2</w:t>
      </w:r>
      <w:r>
        <w:rPr>
          <w:rFonts w:hint="eastAsia" w:ascii="Times New Roman" w:hAnsi="Times New Roman"/>
          <w:highlight w:val="none"/>
        </w:rPr>
        <w:t>）；</w:t>
      </w:r>
    </w:p>
    <w:p w14:paraId="64EDD391">
      <w:pPr>
        <w:pStyle w:val="18"/>
        <w:numPr>
          <w:ilvl w:val="0"/>
          <w:numId w:val="7"/>
        </w:numPr>
        <w:rPr>
          <w:rFonts w:ascii="Times New Roman" w:hAnsi="Times New Roman"/>
          <w:highlight w:val="none"/>
        </w:rPr>
      </w:pPr>
      <w:r>
        <w:rPr>
          <w:rFonts w:hint="eastAsia" w:ascii="Times New Roman" w:hAnsi="Times New Roman"/>
          <w:highlight w:val="none"/>
          <w:lang w:eastAsia="zh-CN"/>
        </w:rPr>
        <w:t>增加了“样块数量”</w:t>
      </w:r>
      <w:r>
        <w:rPr>
          <w:rFonts w:hint="eastAsia" w:ascii="Times New Roman" w:hAnsi="Times New Roman"/>
          <w:highlight w:val="none"/>
          <w:lang w:val="en-US" w:eastAsia="zh-CN"/>
        </w:rPr>
        <w:t>（</w:t>
      </w:r>
      <w:r>
        <w:rPr>
          <w:rFonts w:hint="eastAsia" w:ascii="宋体" w:hAnsi="宋体" w:eastAsia="宋体" w:cs="宋体"/>
          <w:highlight w:val="none"/>
          <w:lang w:val="en-US" w:eastAsia="zh-CN"/>
        </w:rPr>
        <w:t>见6.3</w:t>
      </w:r>
      <w:r>
        <w:rPr>
          <w:rFonts w:hint="eastAsia" w:ascii="Times New Roman" w:hAnsi="Times New Roman"/>
          <w:highlight w:val="none"/>
          <w:lang w:val="en-US" w:eastAsia="zh-CN"/>
        </w:rPr>
        <w:t>）；</w:t>
      </w:r>
    </w:p>
    <w:p w14:paraId="6821D05E">
      <w:pPr>
        <w:pStyle w:val="18"/>
        <w:numPr>
          <w:ilvl w:val="0"/>
          <w:numId w:val="7"/>
        </w:numPr>
        <w:rPr>
          <w:rFonts w:ascii="Times New Roman" w:hAnsi="Times New Roman"/>
          <w:highlight w:val="none"/>
        </w:rPr>
      </w:pPr>
      <w:r>
        <w:rPr>
          <w:rFonts w:hint="eastAsia" w:ascii="Times New Roman" w:hAnsi="Times New Roman"/>
          <w:highlight w:val="none"/>
          <w:lang w:eastAsia="zh-CN"/>
        </w:rPr>
        <w:t>更改了“制样方法”（</w:t>
      </w:r>
      <w:r>
        <w:rPr>
          <w:rFonts w:hint="eastAsia" w:hAnsi="宋体" w:cs="宋体"/>
          <w:highlight w:val="none"/>
          <w:lang w:eastAsia="zh-CN"/>
        </w:rPr>
        <w:t>见</w:t>
      </w:r>
      <w:r>
        <w:rPr>
          <w:rFonts w:hint="eastAsia" w:hAnsi="宋体" w:cs="宋体"/>
          <w:highlight w:val="none"/>
          <w:lang w:val="en-US" w:eastAsia="zh-CN"/>
        </w:rPr>
        <w:t>6.4，2013年版的6.3</w:t>
      </w:r>
      <w:r>
        <w:rPr>
          <w:rFonts w:hint="eastAsia" w:ascii="Times New Roman" w:hAnsi="Times New Roman"/>
          <w:highlight w:val="none"/>
          <w:lang w:eastAsia="zh-CN"/>
        </w:rPr>
        <w:t>）；</w:t>
      </w:r>
    </w:p>
    <w:p w14:paraId="3E9ED144">
      <w:pPr>
        <w:pStyle w:val="18"/>
        <w:numPr>
          <w:ilvl w:val="0"/>
          <w:numId w:val="7"/>
        </w:numPr>
        <w:rPr>
          <w:rFonts w:ascii="Times New Roman" w:hAnsi="Times New Roman"/>
          <w:highlight w:val="none"/>
        </w:rPr>
      </w:pPr>
      <w:r>
        <w:rPr>
          <w:rFonts w:hint="eastAsia" w:ascii="Times New Roman" w:hAnsi="Times New Roman"/>
          <w:highlight w:val="none"/>
          <w:lang w:eastAsia="zh-CN"/>
        </w:rPr>
        <w:t>增加了“玻璃熔窑用熔铸氧化铝耐火制品容重计算方法”（见附录</w:t>
      </w:r>
      <w:r>
        <w:rPr>
          <w:rFonts w:hint="eastAsia" w:ascii="Times New Roman" w:hAnsi="Times New Roman"/>
          <w:highlight w:val="none"/>
          <w:lang w:val="en-US" w:eastAsia="zh-CN"/>
        </w:rPr>
        <w:t>A</w:t>
      </w:r>
      <w:r>
        <w:rPr>
          <w:rFonts w:hint="eastAsia" w:ascii="Times New Roman" w:hAnsi="Times New Roman"/>
          <w:highlight w:val="none"/>
          <w:lang w:eastAsia="zh-CN"/>
        </w:rPr>
        <w:t>）。</w:t>
      </w:r>
    </w:p>
    <w:p w14:paraId="5831FEEA">
      <w:pPr>
        <w:pStyle w:val="18"/>
        <w:rPr>
          <w:rFonts w:hint="eastAsia" w:hAnsi="宋体"/>
        </w:rPr>
      </w:pPr>
      <w:r>
        <w:rPr>
          <w:rFonts w:hAnsi="宋体"/>
        </w:rPr>
        <w:t>请注意本</w:t>
      </w:r>
      <w:r>
        <w:rPr>
          <w:rFonts w:hint="eastAsia" w:hAnsi="宋体"/>
        </w:rPr>
        <w:t>文件</w:t>
      </w:r>
      <w:r>
        <w:rPr>
          <w:rFonts w:hAnsi="宋体"/>
        </w:rPr>
        <w:t>的某些内容可能涉及专利。本文件的发布机构不承担识别专利的责任。</w:t>
      </w:r>
    </w:p>
    <w:p w14:paraId="110D40CF">
      <w:pPr>
        <w:pStyle w:val="18"/>
        <w:rPr>
          <w:rFonts w:hAnsi="宋体"/>
        </w:rPr>
      </w:pPr>
      <w:r>
        <w:rPr>
          <w:rFonts w:hAnsi="宋体"/>
        </w:rPr>
        <w:t>本</w:t>
      </w:r>
      <w:r>
        <w:rPr>
          <w:rFonts w:hint="eastAsia" w:hAnsi="宋体"/>
        </w:rPr>
        <w:t>文件</w:t>
      </w:r>
      <w:r>
        <w:rPr>
          <w:rFonts w:hAnsi="宋体"/>
        </w:rPr>
        <w:t>由中国建筑材料联合会提出。</w:t>
      </w:r>
    </w:p>
    <w:p w14:paraId="629FEB3A">
      <w:pPr>
        <w:pStyle w:val="18"/>
        <w:rPr>
          <w:rFonts w:hint="eastAsia" w:hAnsi="宋体" w:eastAsia="宋体"/>
          <w:lang w:eastAsia="zh-CN"/>
        </w:rPr>
      </w:pPr>
      <w:r>
        <w:rPr>
          <w:rFonts w:hint="eastAsia" w:hAnsi="宋体"/>
          <w:lang w:eastAsia="zh-CN"/>
        </w:rPr>
        <w:t>本文件由建材工业综合标准化技术委员会归口。</w:t>
      </w:r>
    </w:p>
    <w:p w14:paraId="447C0AF5">
      <w:pPr>
        <w:pStyle w:val="18"/>
        <w:rPr>
          <w:rFonts w:hint="eastAsia" w:hAnsi="宋体"/>
        </w:rPr>
      </w:pPr>
      <w:r>
        <w:rPr>
          <w:rFonts w:hAnsi="宋体"/>
        </w:rPr>
        <w:t>本</w:t>
      </w:r>
      <w:r>
        <w:rPr>
          <w:rFonts w:hint="eastAsia" w:hAnsi="宋体"/>
        </w:rPr>
        <w:t>文件主要</w:t>
      </w:r>
      <w:r>
        <w:rPr>
          <w:rFonts w:hAnsi="宋体"/>
        </w:rPr>
        <w:t xml:space="preserve">起草单位： </w:t>
      </w:r>
    </w:p>
    <w:p w14:paraId="65BD36F6">
      <w:pPr>
        <w:ind w:firstLine="420" w:firstLineChars="200"/>
        <w:rPr>
          <w:rFonts w:hint="eastAsia" w:ascii="宋体" w:hAnsi="宋体" w:eastAsia="宋体" w:cs="Times New Roman"/>
          <w:kern w:val="0"/>
          <w:szCs w:val="20"/>
        </w:rPr>
      </w:pPr>
      <w:r>
        <w:rPr>
          <w:rFonts w:ascii="宋体" w:hAnsi="宋体" w:eastAsia="宋体" w:cs="Times New Roman"/>
          <w:kern w:val="0"/>
          <w:szCs w:val="20"/>
        </w:rPr>
        <w:t>本</w:t>
      </w:r>
      <w:r>
        <w:rPr>
          <w:rFonts w:hint="eastAsia" w:ascii="宋体" w:hAnsi="宋体" w:eastAsia="宋体" w:cs="Times New Roman"/>
          <w:kern w:val="0"/>
          <w:szCs w:val="20"/>
        </w:rPr>
        <w:t>文件</w:t>
      </w:r>
      <w:r>
        <w:rPr>
          <w:rFonts w:ascii="宋体" w:hAnsi="宋体" w:eastAsia="宋体" w:cs="Times New Roman"/>
          <w:kern w:val="0"/>
          <w:szCs w:val="20"/>
        </w:rPr>
        <w:t>主要起草人：</w:t>
      </w:r>
    </w:p>
    <w:p w14:paraId="26F27308">
      <w:pPr>
        <w:pStyle w:val="18"/>
        <w:rPr>
          <w:rFonts w:hint="eastAsia" w:hAnsi="宋体"/>
          <w:szCs w:val="21"/>
        </w:rPr>
      </w:pPr>
      <w:r>
        <w:rPr>
          <w:rFonts w:hAnsi="宋体"/>
          <w:szCs w:val="21"/>
        </w:rPr>
        <w:t>本</w:t>
      </w:r>
      <w:r>
        <w:rPr>
          <w:rFonts w:hint="eastAsia" w:hAnsi="宋体"/>
          <w:szCs w:val="21"/>
        </w:rPr>
        <w:t>文件</w:t>
      </w:r>
      <w:r>
        <w:rPr>
          <w:rFonts w:hAnsi="宋体"/>
          <w:szCs w:val="21"/>
        </w:rPr>
        <w:t>所</w:t>
      </w:r>
      <w:r>
        <w:rPr>
          <w:rFonts w:hint="eastAsia" w:hAnsi="宋体"/>
          <w:szCs w:val="21"/>
        </w:rPr>
        <w:t>替代</w:t>
      </w:r>
      <w:r>
        <w:rPr>
          <w:rFonts w:hAnsi="宋体"/>
          <w:szCs w:val="21"/>
        </w:rPr>
        <w:t>文件的历次版本发布情况为：</w:t>
      </w:r>
    </w:p>
    <w:p w14:paraId="3E33B074">
      <w:pPr>
        <w:widowControl/>
        <w:wordWrap w:val="0"/>
        <w:spacing w:after="60"/>
        <w:ind w:firstLine="420" w:firstLineChars="200"/>
        <w:jc w:val="left"/>
        <w:rPr>
          <w:rFonts w:hint="eastAsia" w:ascii="宋体" w:hAnsi="宋体" w:eastAsia="宋体" w:cs="Times New Roman"/>
          <w:kern w:val="0"/>
          <w:szCs w:val="21"/>
        </w:rPr>
      </w:pPr>
      <w:r>
        <w:rPr>
          <w:rFonts w:ascii="Times New Roman" w:hAnsi="Times New Roman" w:eastAsia="宋体" w:cs="Times New Roman"/>
          <w:kern w:val="0"/>
          <w:szCs w:val="21"/>
        </w:rPr>
        <w:t>——JC/T</w:t>
      </w:r>
      <w:r>
        <w:rPr>
          <w:rFonts w:ascii="宋体" w:hAnsi="宋体" w:eastAsia="宋体" w:cs="Times New Roman"/>
          <w:kern w:val="0"/>
          <w:szCs w:val="21"/>
        </w:rPr>
        <w:t xml:space="preserve"> </w:t>
      </w:r>
      <w:r>
        <w:rPr>
          <w:rFonts w:hint="eastAsia" w:ascii="宋体" w:hAnsi="宋体" w:eastAsia="宋体" w:cs="宋体"/>
          <w:kern w:val="0"/>
          <w:szCs w:val="20"/>
        </w:rPr>
        <w:t>494-1992</w:t>
      </w:r>
      <w:r>
        <w:rPr>
          <w:rFonts w:ascii="宋体" w:hAnsi="宋体" w:eastAsia="宋体" w:cs="Times New Roman"/>
          <w:kern w:val="0"/>
          <w:szCs w:val="21"/>
        </w:rPr>
        <w:t>；</w:t>
      </w:r>
    </w:p>
    <w:p w14:paraId="600534F8">
      <w:pPr>
        <w:widowControl/>
        <w:wordWrap w:val="0"/>
        <w:spacing w:after="60"/>
        <w:ind w:firstLine="420" w:firstLineChars="200"/>
        <w:jc w:val="left"/>
        <w:rPr>
          <w:rFonts w:hint="eastAsia" w:ascii="宋体" w:hAnsi="宋体" w:eastAsia="宋体" w:cs="Times New Roman"/>
          <w:kern w:val="0"/>
          <w:szCs w:val="21"/>
        </w:rPr>
      </w:pPr>
      <w:r>
        <w:rPr>
          <w:rFonts w:ascii="Times New Roman" w:hAnsi="Times New Roman" w:eastAsia="宋体" w:cs="Times New Roman"/>
          <w:kern w:val="0"/>
          <w:szCs w:val="21"/>
        </w:rPr>
        <w:t>——JC/T</w:t>
      </w:r>
      <w:r>
        <w:rPr>
          <w:rFonts w:ascii="宋体" w:hAnsi="宋体" w:eastAsia="宋体" w:cs="Times New Roman"/>
          <w:kern w:val="0"/>
          <w:szCs w:val="21"/>
        </w:rPr>
        <w:t xml:space="preserve"> </w:t>
      </w:r>
      <w:r>
        <w:rPr>
          <w:rFonts w:hint="eastAsia" w:ascii="宋体" w:hAnsi="宋体" w:eastAsia="宋体" w:cs="宋体"/>
          <w:kern w:val="0"/>
          <w:szCs w:val="20"/>
        </w:rPr>
        <w:t>494-2013</w:t>
      </w:r>
      <w:r>
        <w:rPr>
          <w:rFonts w:ascii="宋体" w:hAnsi="宋体" w:eastAsia="宋体" w:cs="Times New Roman"/>
          <w:kern w:val="0"/>
          <w:szCs w:val="21"/>
        </w:rPr>
        <w:t>。</w:t>
      </w:r>
    </w:p>
    <w:p w14:paraId="42CDFE56">
      <w:pPr>
        <w:widowControl/>
        <w:wordWrap w:val="0"/>
        <w:spacing w:after="60"/>
        <w:ind w:firstLine="420" w:firstLineChars="200"/>
        <w:jc w:val="left"/>
        <w:rPr>
          <w:rFonts w:ascii="Times New Roman" w:hAnsi="Times New Roman" w:eastAsia="宋体" w:cs="Times New Roman"/>
          <w:kern w:val="0"/>
          <w:szCs w:val="21"/>
        </w:rPr>
      </w:pPr>
    </w:p>
    <w:p w14:paraId="73A306D3">
      <w:pPr>
        <w:pStyle w:val="18"/>
        <w:rPr>
          <w:rFonts w:ascii="Times New Roman" w:hAnsi="Times New Roman"/>
        </w:rPr>
      </w:pPr>
    </w:p>
    <w:p w14:paraId="5049C7D5">
      <w:pPr>
        <w:pStyle w:val="55"/>
        <w:numPr>
          <w:ilvl w:val="0"/>
          <w:numId w:val="4"/>
        </w:numPr>
        <w:rPr>
          <w:rFonts w:ascii="Times New Roman" w:hAnsi="Times New Roman"/>
        </w:rPr>
        <w:sectPr>
          <w:headerReference r:id="rId3" w:type="default"/>
          <w:footerReference r:id="rId4"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14:paraId="398427E5">
      <w:pPr>
        <w:pStyle w:val="18"/>
        <w:ind w:left="0" w:leftChars="0" w:firstLine="0" w:firstLineChars="0"/>
        <w:jc w:val="center"/>
        <w:rPr>
          <w:rFonts w:ascii="Times New Roman" w:hAnsi="Times New Roman" w:eastAsia="黑体"/>
          <w:sz w:val="32"/>
        </w:rPr>
      </w:pPr>
      <w:r>
        <w:rPr>
          <w:rFonts w:hint="eastAsia" w:ascii="Times New Roman" w:hAnsi="Times New Roman" w:eastAsia="黑体"/>
          <w:sz w:val="32"/>
        </w:rPr>
        <w:t>玻璃熔窑用熔铸氧化铝耐火制品</w:t>
      </w:r>
    </w:p>
    <w:p w14:paraId="1DFB5D27">
      <w:pPr>
        <w:pStyle w:val="60"/>
        <w:keepNext w:val="0"/>
        <w:keepLines w:val="0"/>
        <w:pageBreakBefore w:val="0"/>
        <w:widowControl w:val="0"/>
        <w:kinsoku/>
        <w:wordWrap/>
        <w:overflowPunct/>
        <w:topLinePunct w:val="0"/>
        <w:autoSpaceDE/>
        <w:autoSpaceDN/>
        <w:bidi w:val="0"/>
        <w:adjustRightInd/>
        <w:snapToGrid/>
        <w:spacing w:before="312" w:after="312"/>
        <w:ind w:left="425" w:hanging="425"/>
        <w:textAlignment w:val="auto"/>
      </w:pPr>
      <w:bookmarkStart w:id="14" w:name="_Toc73622010"/>
      <w:bookmarkStart w:id="15" w:name="_Toc7056"/>
      <w:bookmarkStart w:id="16" w:name="_Toc25220"/>
      <w:bookmarkStart w:id="17" w:name="_Toc73958775"/>
      <w:r>
        <w:t>1　范围</w:t>
      </w:r>
      <w:bookmarkEnd w:id="14"/>
      <w:bookmarkEnd w:id="15"/>
      <w:bookmarkEnd w:id="16"/>
      <w:bookmarkEnd w:id="17"/>
    </w:p>
    <w:p w14:paraId="4F31564B">
      <w:pPr>
        <w:pStyle w:val="18"/>
      </w:pPr>
      <w:r>
        <w:t>本</w:t>
      </w:r>
      <w:r>
        <w:rPr>
          <w:rFonts w:hint="eastAsia"/>
        </w:rPr>
        <w:t>文件</w:t>
      </w:r>
      <w:r>
        <w:t>规定了玻璃熔窑用熔铸氧化铝耐火制品(以下简称制品)的分类与标记、技术要求、取样方法、试验方法、检验规则</w:t>
      </w:r>
      <w:r>
        <w:rPr>
          <w:rFonts w:hint="eastAsia"/>
        </w:rPr>
        <w:t>、</w:t>
      </w:r>
      <w:r>
        <w:t>包装、标志、运输、</w:t>
      </w:r>
      <w:r>
        <w:rPr>
          <w:rFonts w:hint="eastAsia"/>
        </w:rPr>
        <w:t>储存</w:t>
      </w:r>
      <w:r>
        <w:t>和质量证明书</w:t>
      </w:r>
      <w:r>
        <w:rPr>
          <w:rFonts w:hint="eastAsia"/>
        </w:rPr>
        <w:t>的要求</w:t>
      </w:r>
      <w:r>
        <w:t>。</w:t>
      </w:r>
    </w:p>
    <w:p w14:paraId="32C84CC5">
      <w:pPr>
        <w:pStyle w:val="18"/>
        <w:rPr>
          <w:rFonts w:ascii="Times New Roman" w:hAnsi="Times New Roman"/>
        </w:rPr>
      </w:pPr>
      <w:r>
        <w:t>本</w:t>
      </w:r>
      <w:r>
        <w:rPr>
          <w:rFonts w:hint="eastAsia"/>
        </w:rPr>
        <w:t>文件</w:t>
      </w:r>
      <w:r>
        <w:t>适用于玻璃熔窑用熔铸氧化铝耐火制品。</w:t>
      </w:r>
    </w:p>
    <w:p w14:paraId="4935ED05">
      <w:pPr>
        <w:pStyle w:val="60"/>
        <w:keepNext w:val="0"/>
        <w:keepLines w:val="0"/>
        <w:pageBreakBefore w:val="0"/>
        <w:widowControl w:val="0"/>
        <w:kinsoku/>
        <w:wordWrap/>
        <w:overflowPunct/>
        <w:topLinePunct w:val="0"/>
        <w:autoSpaceDE/>
        <w:autoSpaceDN/>
        <w:bidi w:val="0"/>
        <w:adjustRightInd/>
        <w:snapToGrid/>
        <w:spacing w:before="312" w:after="312"/>
        <w:ind w:left="363" w:hanging="363"/>
        <w:textAlignment w:val="auto"/>
      </w:pPr>
      <w:bookmarkStart w:id="18" w:name="_Toc9251"/>
      <w:bookmarkStart w:id="19" w:name="_Toc73622011"/>
      <w:bookmarkStart w:id="20" w:name="_Toc73958776"/>
      <w:bookmarkStart w:id="21" w:name="_Toc11886"/>
      <w:r>
        <w:t>2　规范性引用文件</w:t>
      </w:r>
      <w:bookmarkEnd w:id="18"/>
      <w:bookmarkEnd w:id="19"/>
      <w:bookmarkEnd w:id="20"/>
      <w:bookmarkEnd w:id="21"/>
    </w:p>
    <w:p w14:paraId="34D2AF49">
      <w:pPr>
        <w:pStyle w:val="18"/>
        <w:rPr>
          <w:rFonts w:hint="eastAsia" w:hAnsi="宋体"/>
        </w:rPr>
      </w:pPr>
      <w:r>
        <w:rPr>
          <w:rFonts w:hAnsi="宋体"/>
        </w:rPr>
        <w:t>下列文件中的内容通过文中的规范性引用而构成本文件必不可少的条款。其中</w:t>
      </w:r>
      <w:r>
        <w:rPr>
          <w:rFonts w:hint="eastAsia" w:hAnsi="宋体"/>
        </w:rPr>
        <w:t>，</w:t>
      </w:r>
      <w:r>
        <w:rPr>
          <w:rFonts w:hAnsi="宋体"/>
        </w:rPr>
        <w:t>注日期的引用文件，仅该日期对应的版本适用于本文件；不注日期的引用文件，其最新版本（包括所有的修改单）适用于本文件。</w:t>
      </w:r>
    </w:p>
    <w:p w14:paraId="119B4E87">
      <w:pPr>
        <w:pStyle w:val="18"/>
      </w:pPr>
      <w:r>
        <w:rPr>
          <w:rFonts w:ascii="Times New Roman" w:hAnsi="Times New Roman"/>
        </w:rPr>
        <w:t>GB/T</w:t>
      </w:r>
      <w:r>
        <w:rPr>
          <w:rFonts w:hint="eastAsia"/>
        </w:rPr>
        <w:t xml:space="preserve"> 2997  致密定形耐火制品体积密度、显气孔率和真气孔率试验方法</w:t>
      </w:r>
    </w:p>
    <w:p w14:paraId="0E203DB4">
      <w:pPr>
        <w:pStyle w:val="18"/>
      </w:pPr>
      <w:r>
        <w:rPr>
          <w:rFonts w:ascii="Times New Roman" w:hAnsi="Times New Roman"/>
        </w:rPr>
        <w:t>GB/T</w:t>
      </w:r>
      <w:r>
        <w:rPr>
          <w:rFonts w:hint="eastAsia"/>
        </w:rPr>
        <w:t xml:space="preserve"> 5072  耐火材料 常温耐压强度试验方法</w:t>
      </w:r>
    </w:p>
    <w:p w14:paraId="05EBDFC3">
      <w:pPr>
        <w:pStyle w:val="18"/>
      </w:pPr>
      <w:r>
        <w:rPr>
          <w:rFonts w:ascii="Times New Roman" w:hAnsi="Times New Roman"/>
        </w:rPr>
        <w:t>GB/T</w:t>
      </w:r>
      <w:r>
        <w:rPr>
          <w:rFonts w:hint="eastAsia"/>
        </w:rPr>
        <w:t xml:space="preserve"> 6900  铝硅系耐火材料化学分析方法</w:t>
      </w:r>
    </w:p>
    <w:p w14:paraId="44F3E640">
      <w:pPr>
        <w:pStyle w:val="18"/>
      </w:pPr>
      <w:r>
        <w:rPr>
          <w:rFonts w:ascii="Times New Roman" w:hAnsi="Times New Roman"/>
        </w:rPr>
        <w:t>GB/T</w:t>
      </w:r>
      <w:r>
        <w:rPr>
          <w:rFonts w:hint="eastAsia"/>
        </w:rPr>
        <w:t xml:space="preserve"> 7321  定形耐火制品试样制备方法</w:t>
      </w:r>
    </w:p>
    <w:p w14:paraId="5BD4F7BF">
      <w:pPr>
        <w:pStyle w:val="18"/>
      </w:pPr>
      <w:r>
        <w:rPr>
          <w:rFonts w:ascii="Times New Roman" w:hAnsi="Times New Roman"/>
        </w:rPr>
        <w:t>GB/T</w:t>
      </w:r>
      <w:r>
        <w:rPr>
          <w:rFonts w:hint="eastAsia"/>
        </w:rPr>
        <w:t xml:space="preserve"> 10326 定形耐火制品尺寸、外观及断面的检查方法</w:t>
      </w:r>
    </w:p>
    <w:p w14:paraId="143133B4">
      <w:pPr>
        <w:pStyle w:val="18"/>
      </w:pPr>
      <w:r>
        <w:rPr>
          <w:rFonts w:ascii="Times New Roman" w:hAnsi="Times New Roman"/>
        </w:rPr>
        <w:t>GB/T</w:t>
      </w:r>
      <w:r>
        <w:rPr>
          <w:rFonts w:hint="eastAsia"/>
        </w:rPr>
        <w:t xml:space="preserve"> 16546 定形耐火材料包装、标志、运输、储存和质量证明书的一般规定</w:t>
      </w:r>
    </w:p>
    <w:p w14:paraId="3E9947A6">
      <w:pPr>
        <w:pStyle w:val="18"/>
      </w:pPr>
      <w:r>
        <w:rPr>
          <w:rFonts w:ascii="Times New Roman" w:hAnsi="Times New Roman"/>
        </w:rPr>
        <w:t>GB/T</w:t>
      </w:r>
      <w:r>
        <w:rPr>
          <w:rFonts w:hint="eastAsia"/>
        </w:rPr>
        <w:t xml:space="preserve"> 18930 耐火材料术语</w:t>
      </w:r>
    </w:p>
    <w:p w14:paraId="195E7B2E">
      <w:pPr>
        <w:pStyle w:val="18"/>
      </w:pPr>
      <w:r>
        <w:rPr>
          <w:rFonts w:ascii="Times New Roman" w:hAnsi="Times New Roman"/>
        </w:rPr>
        <w:t>GB/T</w:t>
      </w:r>
      <w:r>
        <w:rPr>
          <w:rFonts w:hint="eastAsia"/>
        </w:rPr>
        <w:t xml:space="preserve"> 21114 耐火材料 </w:t>
      </w:r>
      <w:r>
        <w:rPr>
          <w:rFonts w:ascii="Times New Roman" w:hAnsi="Times New Roman"/>
        </w:rPr>
        <w:t>X</w:t>
      </w:r>
      <w:r>
        <w:rPr>
          <w:rFonts w:hint="eastAsia"/>
        </w:rPr>
        <w:t>射线荧光光谱化学分析 熔铸玻璃片法</w:t>
      </w:r>
    </w:p>
    <w:p w14:paraId="58A85F50">
      <w:pPr>
        <w:pStyle w:val="18"/>
      </w:pPr>
      <w:r>
        <w:rPr>
          <w:rFonts w:ascii="Times New Roman" w:hAnsi="Times New Roman"/>
        </w:rPr>
        <w:t>JC/T</w:t>
      </w:r>
      <w:r>
        <w:rPr>
          <w:rFonts w:hint="eastAsia"/>
        </w:rPr>
        <w:t xml:space="preserve">  639   玻璃熔窑用耐火材料气泡析出率试验方法</w:t>
      </w:r>
    </w:p>
    <w:p w14:paraId="4E5D6477">
      <w:pPr>
        <w:pStyle w:val="18"/>
      </w:pPr>
      <w:r>
        <w:rPr>
          <w:rFonts w:ascii="Times New Roman" w:hAnsi="Times New Roman"/>
        </w:rPr>
        <w:t>JC/T</w:t>
      </w:r>
      <w:r>
        <w:rPr>
          <w:rFonts w:hint="eastAsia"/>
        </w:rPr>
        <w:t xml:space="preserve">  806   玻璃熔窑用耐火材料静态下抗玻璃液侵蚀试验方法</w:t>
      </w:r>
    </w:p>
    <w:p w14:paraId="6FE4125A">
      <w:pPr>
        <w:pStyle w:val="18"/>
        <w:rPr>
          <w:highlight w:val="none"/>
        </w:rPr>
      </w:pPr>
      <w:r>
        <w:rPr>
          <w:rFonts w:ascii="Times New Roman" w:hAnsi="Times New Roman"/>
          <w:highlight w:val="none"/>
        </w:rPr>
        <w:t>JY/T</w:t>
      </w:r>
      <w:r>
        <w:rPr>
          <w:rFonts w:hint="eastAsia"/>
          <w:highlight w:val="none"/>
        </w:rPr>
        <w:t xml:space="preserve">  0587  多晶体</w:t>
      </w:r>
      <w:r>
        <w:rPr>
          <w:rFonts w:hint="default" w:ascii="Times New Roman" w:hAnsi="Times New Roman" w:cs="Times New Roman"/>
          <w:highlight w:val="none"/>
        </w:rPr>
        <w:t>X</w:t>
      </w:r>
      <w:r>
        <w:rPr>
          <w:rFonts w:hint="eastAsia"/>
          <w:highlight w:val="none"/>
        </w:rPr>
        <w:t>射线衍射方法通则</w:t>
      </w:r>
    </w:p>
    <w:p w14:paraId="1BA100D5">
      <w:pPr>
        <w:pStyle w:val="60"/>
        <w:spacing w:before="312" w:after="312"/>
      </w:pPr>
      <w:bookmarkStart w:id="22" w:name="_Toc6543"/>
      <w:bookmarkStart w:id="23" w:name="_Toc73622012"/>
      <w:bookmarkStart w:id="24" w:name="_Toc73958777"/>
      <w:bookmarkStart w:id="25" w:name="_Toc24761"/>
      <w:r>
        <w:t>3　术语和定义</w:t>
      </w:r>
      <w:bookmarkEnd w:id="22"/>
      <w:bookmarkEnd w:id="23"/>
      <w:bookmarkEnd w:id="24"/>
      <w:bookmarkEnd w:id="25"/>
    </w:p>
    <w:p w14:paraId="0AA9A1D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kern w:val="0"/>
          <w:sz w:val="21"/>
          <w:szCs w:val="20"/>
          <w:lang w:val="zh-CN" w:eastAsia="zh-CN" w:bidi="ar-SA"/>
        </w:rPr>
      </w:pPr>
      <w:r>
        <w:rPr>
          <w:rFonts w:hint="default" w:ascii="Times New Roman" w:hAnsi="Times New Roman" w:eastAsia="宋体" w:cs="Times New Roman"/>
          <w:kern w:val="0"/>
          <w:sz w:val="21"/>
          <w:szCs w:val="20"/>
          <w:lang w:val="zh-CN" w:eastAsia="zh-CN" w:bidi="ar-SA"/>
        </w:rPr>
        <w:t>GB/T</w:t>
      </w:r>
      <w:r>
        <w:rPr>
          <w:rFonts w:hint="eastAsia" w:ascii="宋体" w:hAnsi="宋体" w:eastAsia="宋体" w:cs="宋体"/>
          <w:kern w:val="0"/>
          <w:sz w:val="21"/>
          <w:szCs w:val="20"/>
          <w:lang w:val="zh-CN" w:eastAsia="zh-CN" w:bidi="ar-SA"/>
        </w:rPr>
        <w:t xml:space="preserve"> 1</w:t>
      </w:r>
      <w:r>
        <w:rPr>
          <w:rFonts w:hint="eastAsia" w:ascii="宋体" w:hAnsi="宋体" w:eastAsia="宋体" w:cs="宋体"/>
          <w:kern w:val="0"/>
          <w:sz w:val="21"/>
          <w:szCs w:val="20"/>
          <w:lang w:val="en-US" w:eastAsia="zh-CN" w:bidi="ar-SA"/>
        </w:rPr>
        <w:t>8930</w:t>
      </w:r>
      <w:r>
        <w:rPr>
          <w:rFonts w:hint="eastAsia" w:ascii="宋体" w:hAnsi="宋体" w:eastAsia="宋体" w:cs="宋体"/>
          <w:kern w:val="0"/>
          <w:sz w:val="21"/>
          <w:szCs w:val="20"/>
          <w:lang w:val="zh-CN" w:eastAsia="zh-CN" w:bidi="ar-SA"/>
        </w:rPr>
        <w:t>界定的以及下列术语和定义适用于本文件。</w:t>
      </w:r>
    </w:p>
    <w:p w14:paraId="28B3040F">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26" w:name="_Toc30875"/>
      <w:r>
        <w:rPr>
          <w:rFonts w:hint="eastAsia" w:ascii="黑体" w:hAnsi="黑体" w:eastAsia="黑体" w:cs="Times New Roman"/>
          <w:color w:val="000000"/>
          <w:kern w:val="2"/>
          <w:sz w:val="21"/>
          <w:szCs w:val="21"/>
          <w:lang w:val="en-US" w:eastAsia="zh-CN" w:bidi="ar-SA"/>
        </w:rPr>
        <w:t>3.1</w:t>
      </w:r>
      <w:bookmarkEnd w:id="26"/>
    </w:p>
    <w:p w14:paraId="76AF8172">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lang w:eastAsia="zh-CN"/>
        </w:rPr>
      </w:pPr>
      <w:r>
        <w:rPr>
          <w:rFonts w:hint="eastAsia" w:ascii="黑体" w:hAnsi="黑体" w:eastAsia="黑体" w:cs="黑体"/>
          <w:lang w:eastAsia="zh-CN"/>
        </w:rPr>
        <w:t>熔铸氧化铝耐火制品</w:t>
      </w:r>
      <w:r>
        <w:rPr>
          <w:lang w:eastAsia="zh-CN"/>
        </w:rPr>
        <w:t xml:space="preserve"> </w:t>
      </w:r>
      <w:r>
        <w:rPr>
          <w:rFonts w:hint="default" w:ascii="Times New Roman" w:hAnsi="Times New Roman" w:cs="Times New Roman"/>
          <w:lang w:eastAsia="zh-CN"/>
        </w:rPr>
        <w:t>fused cast alumina refractory</w:t>
      </w:r>
    </w:p>
    <w:p w14:paraId="4605F5F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以氧化铝为主要原料，经熔融浇铸后冷却成型的耐火制品。</w:t>
      </w:r>
    </w:p>
    <w:p w14:paraId="6DBAC340">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27" w:name="_Toc5609"/>
      <w:r>
        <w:rPr>
          <w:rFonts w:hint="eastAsia" w:ascii="黑体" w:hAnsi="黑体" w:eastAsia="黑体" w:cs="Times New Roman"/>
          <w:color w:val="000000"/>
          <w:kern w:val="2"/>
          <w:sz w:val="21"/>
          <w:szCs w:val="21"/>
          <w:lang w:val="en-US" w:eastAsia="zh-CN" w:bidi="ar-SA"/>
        </w:rPr>
        <w:t>3.2</w:t>
      </w:r>
      <w:bookmarkEnd w:id="27"/>
    </w:p>
    <w:p w14:paraId="30E14E02">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rFonts w:hint="default" w:ascii="Times New Roman" w:hAnsi="Times New Roman" w:cs="Times New Roman"/>
          <w:lang w:eastAsia="zh-CN"/>
        </w:rPr>
      </w:pPr>
      <w:r>
        <w:rPr>
          <w:rFonts w:hint="eastAsia" w:ascii="黑体" w:hAnsi="黑体" w:eastAsia="黑体" w:cs="黑体"/>
          <w:lang w:eastAsia="zh-CN"/>
        </w:rPr>
        <w:t>铸口</w:t>
      </w:r>
      <w:r>
        <w:rPr>
          <w:lang w:eastAsia="zh-CN"/>
        </w:rPr>
        <w:t xml:space="preserve"> </w:t>
      </w:r>
      <w:r>
        <w:rPr>
          <w:rFonts w:hint="default" w:ascii="Times New Roman" w:hAnsi="Times New Roman" w:cs="Times New Roman"/>
          <w:lang w:eastAsia="zh-CN"/>
        </w:rPr>
        <w:t>cast gate</w:t>
      </w:r>
    </w:p>
    <w:p w14:paraId="4E7A81F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浇铸冒口除掉后留下的痕迹。</w:t>
      </w:r>
    </w:p>
    <w:p w14:paraId="4CD88F09">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28" w:name="_Toc26529"/>
      <w:r>
        <w:rPr>
          <w:rFonts w:hint="eastAsia" w:ascii="黑体" w:hAnsi="黑体" w:eastAsia="黑体" w:cs="Times New Roman"/>
          <w:color w:val="000000"/>
          <w:kern w:val="2"/>
          <w:sz w:val="21"/>
          <w:szCs w:val="21"/>
          <w:lang w:val="en-US" w:eastAsia="zh-CN" w:bidi="ar-SA"/>
        </w:rPr>
        <w:t>3.3</w:t>
      </w:r>
      <w:bookmarkEnd w:id="28"/>
    </w:p>
    <w:p w14:paraId="2AF42FDA">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lang w:eastAsia="zh-CN"/>
        </w:rPr>
      </w:pPr>
      <w:r>
        <w:rPr>
          <w:rFonts w:hint="eastAsia" w:ascii="黑体" w:hAnsi="黑体" w:eastAsia="黑体" w:cs="黑体"/>
          <w:lang w:eastAsia="zh-CN"/>
        </w:rPr>
        <w:t>铸口面</w:t>
      </w:r>
      <w:r>
        <w:rPr>
          <w:rFonts w:hint="eastAsia"/>
          <w:lang w:eastAsia="zh-CN"/>
        </w:rPr>
        <w:t xml:space="preserve"> </w:t>
      </w:r>
      <w:r>
        <w:rPr>
          <w:rFonts w:hint="default" w:ascii="Times New Roman" w:hAnsi="Times New Roman" w:cs="Times New Roman"/>
          <w:lang w:eastAsia="zh-CN"/>
        </w:rPr>
        <w:t>casting face</w:t>
      </w:r>
    </w:p>
    <w:p w14:paraId="4CBA495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lang w:val="en-US" w:eastAsia="zh-CN"/>
        </w:rPr>
        <w:t>制</w:t>
      </w:r>
      <w:r>
        <w:rPr>
          <w:rFonts w:hint="eastAsia" w:ascii="宋体" w:hAnsi="宋体" w:eastAsia="宋体" w:cs="宋体"/>
        </w:rPr>
        <w:t>品铸口所在面。</w:t>
      </w:r>
    </w:p>
    <w:p w14:paraId="4A4EEAA5">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29" w:name="_Toc14784"/>
      <w:r>
        <w:rPr>
          <w:rFonts w:hint="eastAsia" w:ascii="黑体" w:hAnsi="黑体" w:eastAsia="黑体" w:cs="Times New Roman"/>
          <w:color w:val="000000"/>
          <w:kern w:val="2"/>
          <w:sz w:val="21"/>
          <w:szCs w:val="21"/>
          <w:lang w:val="en-US" w:eastAsia="zh-CN" w:bidi="ar-SA"/>
        </w:rPr>
        <w:t>3.4</w:t>
      </w:r>
      <w:bookmarkEnd w:id="29"/>
    </w:p>
    <w:p w14:paraId="508C9495">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lang w:eastAsia="zh-CN"/>
        </w:rPr>
      </w:pPr>
      <w:r>
        <w:rPr>
          <w:rFonts w:hint="eastAsia" w:ascii="黑体" w:hAnsi="黑体" w:eastAsia="黑体" w:cs="黑体"/>
          <w:lang w:eastAsia="zh-CN"/>
        </w:rPr>
        <w:t>工作面</w:t>
      </w:r>
      <w:r>
        <w:rPr>
          <w:lang w:eastAsia="zh-CN"/>
        </w:rPr>
        <w:t xml:space="preserve"> </w:t>
      </w:r>
      <w:r>
        <w:rPr>
          <w:rFonts w:hint="default" w:ascii="Times New Roman" w:hAnsi="Times New Roman" w:cs="Times New Roman"/>
          <w:lang w:eastAsia="zh-CN"/>
        </w:rPr>
        <w:t>working face</w:t>
      </w:r>
    </w:p>
    <w:p w14:paraId="3C2CED6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lang w:val="en-US" w:eastAsia="zh-CN"/>
        </w:rPr>
        <w:t>制</w:t>
      </w:r>
      <w:r>
        <w:rPr>
          <w:rFonts w:hint="eastAsia" w:ascii="宋体" w:hAnsi="宋体" w:eastAsia="宋体" w:cs="宋体"/>
        </w:rPr>
        <w:t>品与工作介质接触面。</w:t>
      </w:r>
    </w:p>
    <w:p w14:paraId="229C30A8">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30" w:name="_Toc24831"/>
      <w:r>
        <w:rPr>
          <w:rFonts w:hint="eastAsia" w:ascii="黑体" w:hAnsi="黑体" w:eastAsia="黑体" w:cs="Times New Roman"/>
          <w:color w:val="000000"/>
          <w:kern w:val="2"/>
          <w:sz w:val="21"/>
          <w:szCs w:val="21"/>
          <w:lang w:val="en-US" w:eastAsia="zh-CN" w:bidi="ar-SA"/>
        </w:rPr>
        <w:t>3.5</w:t>
      </w:r>
      <w:bookmarkEnd w:id="30"/>
    </w:p>
    <w:p w14:paraId="5D036543">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rFonts w:hint="default" w:ascii="Times New Roman" w:hAnsi="Times New Roman" w:cs="Times New Roman"/>
          <w:lang w:eastAsia="zh-CN"/>
        </w:rPr>
      </w:pPr>
      <w:r>
        <w:rPr>
          <w:rFonts w:hint="eastAsia" w:ascii="黑体" w:hAnsi="黑体" w:eastAsia="黑体" w:cs="黑体"/>
          <w:lang w:eastAsia="zh-CN"/>
        </w:rPr>
        <w:t>缩孔</w:t>
      </w:r>
      <w:r>
        <w:rPr>
          <w:lang w:eastAsia="zh-CN"/>
        </w:rPr>
        <w:t xml:space="preserve"> </w:t>
      </w:r>
      <w:r>
        <w:rPr>
          <w:rFonts w:hint="default" w:ascii="Times New Roman" w:hAnsi="Times New Roman" w:cs="Times New Roman"/>
          <w:lang w:eastAsia="zh-CN"/>
        </w:rPr>
        <w:t>shrinkage cavity</w:t>
      </w:r>
    </w:p>
    <w:p w14:paraId="6650991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lang w:val="en-US" w:eastAsia="zh-CN"/>
        </w:rPr>
        <w:t>制</w:t>
      </w:r>
      <w:r>
        <w:rPr>
          <w:rFonts w:hint="eastAsia" w:ascii="宋体" w:hAnsi="宋体" w:eastAsia="宋体" w:cs="宋体"/>
        </w:rPr>
        <w:t>品中因熔体冷固后形成的收缩孔洞。</w:t>
      </w:r>
    </w:p>
    <w:p w14:paraId="3D0D50A9">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31" w:name="_Toc30745"/>
      <w:r>
        <w:rPr>
          <w:rFonts w:hint="eastAsia" w:ascii="黑体" w:hAnsi="黑体" w:eastAsia="黑体" w:cs="Times New Roman"/>
          <w:color w:val="000000"/>
          <w:kern w:val="2"/>
          <w:sz w:val="21"/>
          <w:szCs w:val="21"/>
          <w:lang w:val="en-US" w:eastAsia="zh-CN" w:bidi="ar-SA"/>
        </w:rPr>
        <w:t>3.6</w:t>
      </w:r>
      <w:bookmarkEnd w:id="31"/>
    </w:p>
    <w:p w14:paraId="42DC264E">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lang w:eastAsia="zh-CN"/>
        </w:rPr>
      </w:pPr>
      <w:r>
        <w:rPr>
          <w:rFonts w:hint="eastAsia" w:ascii="黑体" w:hAnsi="黑体" w:eastAsia="黑体" w:cs="黑体"/>
          <w:lang w:eastAsia="zh-CN"/>
        </w:rPr>
        <w:t>砌筑面</w:t>
      </w:r>
      <w:r>
        <w:rPr>
          <w:rFonts w:hint="eastAsia"/>
          <w:lang w:eastAsia="zh-CN"/>
        </w:rPr>
        <w:t xml:space="preserve"> </w:t>
      </w:r>
      <w:r>
        <w:rPr>
          <w:rFonts w:hint="default" w:ascii="Times New Roman" w:hAnsi="Times New Roman" w:cs="Times New Roman"/>
          <w:lang w:eastAsia="zh-CN"/>
        </w:rPr>
        <w:t>mating f</w:t>
      </w:r>
      <w:r>
        <w:rPr>
          <w:rFonts w:hint="eastAsia" w:ascii="Times New Roman" w:hAnsi="Times New Roman" w:cs="Times New Roman"/>
          <w:lang w:eastAsia="zh-CN"/>
        </w:rPr>
        <w:t>a</w:t>
      </w:r>
      <w:r>
        <w:rPr>
          <w:rFonts w:hint="default" w:ascii="Times New Roman" w:hAnsi="Times New Roman" w:cs="Times New Roman"/>
          <w:lang w:eastAsia="zh-CN"/>
        </w:rPr>
        <w:t>ce</w:t>
      </w:r>
    </w:p>
    <w:p w14:paraId="12B6600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砌筑时砖与砖之间的接触面。</w:t>
      </w:r>
    </w:p>
    <w:p w14:paraId="798F5A70">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Times New Roman"/>
          <w:color w:val="000000"/>
          <w:kern w:val="2"/>
          <w:sz w:val="21"/>
          <w:szCs w:val="21"/>
          <w:lang w:val="en-US" w:eastAsia="zh-CN" w:bidi="ar-SA"/>
        </w:rPr>
      </w:pPr>
      <w:bookmarkStart w:id="32" w:name="_Toc6966"/>
      <w:r>
        <w:rPr>
          <w:rFonts w:hint="eastAsia" w:ascii="黑体" w:hAnsi="黑体" w:eastAsia="黑体" w:cs="Times New Roman"/>
          <w:color w:val="000000"/>
          <w:kern w:val="2"/>
          <w:sz w:val="21"/>
          <w:szCs w:val="21"/>
          <w:lang w:val="en-US" w:eastAsia="zh-CN" w:bidi="ar-SA"/>
        </w:rPr>
        <w:t>3.7</w:t>
      </w:r>
      <w:bookmarkEnd w:id="32"/>
    </w:p>
    <w:p w14:paraId="0B8D6FBB">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lang w:eastAsia="zh-CN"/>
        </w:rPr>
      </w:pPr>
      <w:r>
        <w:rPr>
          <w:rFonts w:hint="eastAsia" w:ascii="黑体" w:hAnsi="黑体" w:eastAsia="黑体" w:cs="黑体"/>
          <w:lang w:eastAsia="zh-CN"/>
        </w:rPr>
        <w:t>直角度</w:t>
      </w:r>
      <w:r>
        <w:rPr>
          <w:rFonts w:hint="eastAsia"/>
          <w:lang w:eastAsia="zh-CN"/>
        </w:rPr>
        <w:t xml:space="preserve"> </w:t>
      </w:r>
      <w:r>
        <w:rPr>
          <w:rFonts w:hint="default" w:ascii="Times New Roman" w:hAnsi="Times New Roman" w:cs="Times New Roman"/>
          <w:lang w:eastAsia="zh-CN"/>
        </w:rPr>
        <w:t>squareness</w:t>
      </w:r>
    </w:p>
    <w:p w14:paraId="4E9B2B5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rPr>
        <w:t>以直角钢尺测量、</w:t>
      </w:r>
      <w:r>
        <w:rPr>
          <w:rFonts w:hint="eastAsia" w:ascii="宋体" w:hAnsi="宋体" w:eastAsia="宋体" w:cs="宋体"/>
          <w:lang w:val="en-US" w:eastAsia="zh-CN"/>
        </w:rPr>
        <w:t>制</w:t>
      </w:r>
      <w:r>
        <w:rPr>
          <w:rFonts w:hint="eastAsia" w:ascii="宋体" w:hAnsi="宋体" w:eastAsia="宋体" w:cs="宋体"/>
        </w:rPr>
        <w:t>品端面与钢尺之间的最大缝隙。</w:t>
      </w:r>
    </w:p>
    <w:p w14:paraId="0D780439">
      <w:pPr>
        <w:pStyle w:val="60"/>
        <w:spacing w:before="312" w:after="312"/>
        <w:rPr>
          <w:highlight w:val="none"/>
        </w:rPr>
      </w:pPr>
      <w:bookmarkStart w:id="33" w:name="_Toc73958779"/>
      <w:bookmarkStart w:id="34" w:name="_Toc73622014"/>
      <w:bookmarkStart w:id="35" w:name="_Toc29207"/>
      <w:bookmarkStart w:id="36" w:name="_Toc19611"/>
      <w:r>
        <w:rPr>
          <w:highlight w:val="none"/>
        </w:rPr>
        <w:t>4　分类</w:t>
      </w:r>
      <w:bookmarkEnd w:id="33"/>
      <w:bookmarkEnd w:id="34"/>
      <w:r>
        <w:rPr>
          <w:highlight w:val="none"/>
        </w:rPr>
        <w:t>与标记</w:t>
      </w:r>
      <w:bookmarkEnd w:id="35"/>
      <w:bookmarkEnd w:id="36"/>
    </w:p>
    <w:p w14:paraId="5046AD03">
      <w:pPr>
        <w:pStyle w:val="61"/>
        <w:keepNext w:val="0"/>
        <w:keepLines w:val="0"/>
        <w:pageBreakBefore w:val="0"/>
        <w:widowControl w:val="0"/>
        <w:kinsoku/>
        <w:wordWrap/>
        <w:overflowPunct/>
        <w:topLinePunct w:val="0"/>
        <w:autoSpaceDE/>
        <w:autoSpaceDN/>
        <w:bidi w:val="0"/>
        <w:adjustRightInd/>
        <w:snapToGrid/>
        <w:spacing w:before="156" w:after="156"/>
        <w:textAlignment w:val="auto"/>
        <w:rPr>
          <w:highlight w:val="none"/>
        </w:rPr>
      </w:pPr>
      <w:bookmarkStart w:id="37" w:name="_Toc73958780"/>
      <w:bookmarkStart w:id="38" w:name="_Toc73622015"/>
      <w:bookmarkStart w:id="39" w:name="_Toc19053"/>
      <w:r>
        <w:rPr>
          <w:highlight w:val="none"/>
        </w:rPr>
        <w:t>4.1　分类</w:t>
      </w:r>
      <w:bookmarkEnd w:id="37"/>
      <w:bookmarkEnd w:id="38"/>
      <w:bookmarkEnd w:id="39"/>
    </w:p>
    <w:p w14:paraId="42682FAB">
      <w:pPr>
        <w:pStyle w:val="37"/>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ascii="Times New Roman" w:hAnsi="Times New Roman"/>
          <w:color w:val="000000"/>
          <w:highlight w:val="none"/>
        </w:rPr>
      </w:pPr>
      <w:r>
        <w:rPr>
          <w:rFonts w:hint="eastAsia" w:ascii="黑体" w:hAnsi="黑体" w:eastAsia="黑体" w:cs="黑体"/>
          <w:spacing w:val="8"/>
          <w:highlight w:val="none"/>
        </w:rPr>
        <w:t>4.1.1</w:t>
      </w:r>
      <w:r>
        <w:rPr>
          <w:rFonts w:hint="eastAsia" w:ascii="黑体" w:hAnsi="Times New Roman" w:eastAsia="黑体"/>
          <w:color w:val="000000"/>
          <w:highlight w:val="none"/>
          <w:lang w:val="zh-CN"/>
        </w:rPr>
        <w:t>　</w:t>
      </w:r>
      <w:r>
        <w:rPr>
          <w:rFonts w:hint="eastAsia" w:hAnsi="宋体"/>
          <w:highlight w:val="none"/>
        </w:rPr>
        <w:t>制品按其晶相组成分为两个牌号，见表1。</w:t>
      </w:r>
    </w:p>
    <w:p w14:paraId="31F99C52">
      <w:pPr>
        <w:pStyle w:val="37"/>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jc w:val="center"/>
        <w:textAlignment w:val="auto"/>
        <w:rPr>
          <w:rFonts w:ascii="Times New Roman" w:hAnsi="Times New Roman" w:eastAsia="黑体"/>
          <w:highlight w:val="none"/>
        </w:rPr>
      </w:pPr>
      <w:r>
        <w:rPr>
          <w:rFonts w:hint="eastAsia" w:ascii="黑体" w:hAnsi="黑体" w:eastAsia="黑体" w:cs="黑体"/>
          <w:highlight w:val="none"/>
        </w:rPr>
        <w:t>表1</w:t>
      </w:r>
      <w:r>
        <w:rPr>
          <w:rFonts w:ascii="Times New Roman" w:hAnsi="Times New Roman" w:eastAsia="黑体"/>
          <w:highlight w:val="none"/>
        </w:rPr>
        <w:t xml:space="preserve">  </w:t>
      </w:r>
      <w:r>
        <w:rPr>
          <w:rFonts w:hint="eastAsia" w:ascii="Times New Roman" w:hAnsi="Times New Roman" w:eastAsia="黑体"/>
          <w:highlight w:val="none"/>
        </w:rPr>
        <w:t>制品晶相组成</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4"/>
        <w:gridCol w:w="2815"/>
        <w:gridCol w:w="2815"/>
      </w:tblGrid>
      <w:tr w14:paraId="4D53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264" w:type="dxa"/>
            <w:tcBorders>
              <w:top w:val="single" w:color="auto" w:sz="8" w:space="0"/>
              <w:left w:val="single" w:color="auto" w:sz="8" w:space="0"/>
              <w:bottom w:val="single" w:color="auto" w:sz="8" w:space="0"/>
              <w:right w:val="single" w:color="auto" w:sz="4" w:space="0"/>
            </w:tcBorders>
            <w:vAlign w:val="center"/>
          </w:tcPr>
          <w:p w14:paraId="4FEED087">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产品名称代号</w:t>
            </w:r>
          </w:p>
        </w:tc>
        <w:tc>
          <w:tcPr>
            <w:tcW w:w="2815" w:type="dxa"/>
            <w:tcBorders>
              <w:top w:val="single" w:color="auto" w:sz="8" w:space="0"/>
              <w:left w:val="single" w:color="auto" w:sz="4" w:space="0"/>
              <w:bottom w:val="single" w:color="auto" w:sz="8" w:space="0"/>
              <w:right w:val="single" w:color="auto" w:sz="4" w:space="0"/>
            </w:tcBorders>
            <w:vAlign w:val="center"/>
          </w:tcPr>
          <w:p w14:paraId="17C2A39C">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牌号</w:t>
            </w:r>
          </w:p>
        </w:tc>
        <w:tc>
          <w:tcPr>
            <w:tcW w:w="2815" w:type="dxa"/>
            <w:tcBorders>
              <w:top w:val="single" w:color="auto" w:sz="8" w:space="0"/>
              <w:left w:val="single" w:color="auto" w:sz="4" w:space="0"/>
              <w:bottom w:val="single" w:color="auto" w:sz="8" w:space="0"/>
              <w:right w:val="single" w:color="auto" w:sz="8" w:space="0"/>
            </w:tcBorders>
            <w:vAlign w:val="center"/>
          </w:tcPr>
          <w:p w14:paraId="210B65F9">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主晶相</w:t>
            </w:r>
          </w:p>
        </w:tc>
      </w:tr>
      <w:tr w14:paraId="38D5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264" w:type="dxa"/>
            <w:vMerge w:val="restart"/>
            <w:tcBorders>
              <w:top w:val="single" w:color="auto" w:sz="8" w:space="0"/>
              <w:left w:val="single" w:color="auto" w:sz="8" w:space="0"/>
              <w:bottom w:val="single" w:color="auto" w:sz="4" w:space="0"/>
              <w:right w:val="single" w:color="auto" w:sz="4" w:space="0"/>
            </w:tcBorders>
            <w:vAlign w:val="center"/>
          </w:tcPr>
          <w:p w14:paraId="23FFB092">
            <w:pPr>
              <w:pStyle w:val="37"/>
              <w:keepNext w:val="0"/>
              <w:keepLines w:val="0"/>
              <w:widowControl/>
              <w:numPr>
                <w:ilvl w:val="0"/>
                <w:numId w:val="0"/>
              </w:numPr>
              <w:suppressLineNumbers w:val="0"/>
              <w:spacing w:beforeAutospacing="0" w:afterAutospacing="0"/>
              <w:ind w:left="0" w:right="0"/>
              <w:jc w:val="center"/>
              <w:rPr>
                <w:rFonts w:hint="default" w:ascii="Times New Roman" w:hAnsi="Times New Roman"/>
                <w:sz w:val="18"/>
                <w:szCs w:val="18"/>
                <w:highlight w:val="none"/>
              </w:rPr>
            </w:pPr>
            <w:r>
              <w:rPr>
                <w:rFonts w:hint="default" w:ascii="Times New Roman" w:hAnsi="Times New Roman"/>
                <w:sz w:val="18"/>
                <w:szCs w:val="18"/>
                <w:highlight w:val="none"/>
              </w:rPr>
              <w:t>RA</w:t>
            </w:r>
          </w:p>
        </w:tc>
        <w:tc>
          <w:tcPr>
            <w:tcW w:w="2815" w:type="dxa"/>
            <w:tcBorders>
              <w:top w:val="single" w:color="auto" w:sz="8" w:space="0"/>
              <w:left w:val="single" w:color="auto" w:sz="4" w:space="0"/>
              <w:bottom w:val="single" w:color="auto" w:sz="4" w:space="0"/>
              <w:right w:val="single" w:color="auto" w:sz="4" w:space="0"/>
            </w:tcBorders>
            <w:vAlign w:val="center"/>
          </w:tcPr>
          <w:p w14:paraId="23258BEF">
            <w:pPr>
              <w:pStyle w:val="37"/>
              <w:keepNext w:val="0"/>
              <w:keepLines w:val="0"/>
              <w:widowControl/>
              <w:numPr>
                <w:ilvl w:val="0"/>
                <w:numId w:val="0"/>
              </w:numPr>
              <w:suppressLineNumbers w:val="0"/>
              <w:spacing w:beforeAutospacing="0" w:afterAutospacing="0"/>
              <w:ind w:left="0" w:right="0"/>
              <w:jc w:val="center"/>
              <w:rPr>
                <w:rFonts w:hint="default" w:ascii="Times New Roman" w:hAnsi="Times New Roman"/>
                <w:sz w:val="18"/>
                <w:szCs w:val="18"/>
                <w:highlight w:val="none"/>
              </w:rPr>
            </w:pPr>
            <w:r>
              <w:rPr>
                <w:rFonts w:hint="default" w:ascii="Times New Roman" w:hAnsi="Times New Roman"/>
                <w:sz w:val="18"/>
                <w:szCs w:val="18"/>
                <w:highlight w:val="none"/>
              </w:rPr>
              <w:t>M</w:t>
            </w:r>
          </w:p>
        </w:tc>
        <w:tc>
          <w:tcPr>
            <w:tcW w:w="2815" w:type="dxa"/>
            <w:tcBorders>
              <w:top w:val="single" w:color="auto" w:sz="8" w:space="0"/>
              <w:left w:val="single" w:color="auto" w:sz="4" w:space="0"/>
              <w:bottom w:val="single" w:color="auto" w:sz="4" w:space="0"/>
              <w:right w:val="single" w:color="auto" w:sz="8" w:space="0"/>
            </w:tcBorders>
            <w:vAlign w:val="center"/>
          </w:tcPr>
          <w:p w14:paraId="727620D2">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default" w:ascii="Times New Roman" w:hAnsi="Times New Roman"/>
                <w:sz w:val="18"/>
                <w:szCs w:val="18"/>
                <w:highlight w:val="none"/>
              </w:rPr>
              <w:t>α</w:t>
            </w:r>
            <w:r>
              <w:rPr>
                <w:rFonts w:hint="eastAsia" w:hAnsi="宋体"/>
                <w:sz w:val="18"/>
                <w:szCs w:val="18"/>
                <w:highlight w:val="none"/>
              </w:rPr>
              <w:t>刚玉和</w:t>
            </w:r>
            <w:r>
              <w:rPr>
                <w:rFonts w:hint="default" w:ascii="Times New Roman" w:hAnsi="Times New Roman"/>
                <w:sz w:val="18"/>
                <w:szCs w:val="18"/>
                <w:highlight w:val="none"/>
              </w:rPr>
              <w:t>β</w:t>
            </w:r>
            <w:r>
              <w:rPr>
                <w:rFonts w:hint="eastAsia" w:hAnsi="宋体"/>
                <w:sz w:val="18"/>
                <w:szCs w:val="18"/>
                <w:highlight w:val="none"/>
              </w:rPr>
              <w:t>刚玉</w:t>
            </w:r>
          </w:p>
        </w:tc>
      </w:tr>
      <w:tr w14:paraId="37C2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264" w:type="dxa"/>
            <w:vMerge w:val="continue"/>
            <w:tcBorders>
              <w:top w:val="single" w:color="auto" w:sz="4" w:space="0"/>
              <w:left w:val="single" w:color="auto" w:sz="8" w:space="0"/>
              <w:bottom w:val="single" w:color="auto" w:sz="8" w:space="0"/>
              <w:right w:val="single" w:color="auto" w:sz="4" w:space="0"/>
            </w:tcBorders>
            <w:vAlign w:val="center"/>
          </w:tcPr>
          <w:p w14:paraId="04BEF642">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p>
        </w:tc>
        <w:tc>
          <w:tcPr>
            <w:tcW w:w="2815" w:type="dxa"/>
            <w:tcBorders>
              <w:top w:val="single" w:color="auto" w:sz="4" w:space="0"/>
              <w:left w:val="single" w:color="auto" w:sz="4" w:space="0"/>
              <w:bottom w:val="single" w:color="auto" w:sz="8" w:space="0"/>
              <w:right w:val="single" w:color="auto" w:sz="4" w:space="0"/>
            </w:tcBorders>
            <w:vAlign w:val="center"/>
          </w:tcPr>
          <w:p w14:paraId="2CF9E3FF">
            <w:pPr>
              <w:pStyle w:val="37"/>
              <w:keepNext w:val="0"/>
              <w:keepLines w:val="0"/>
              <w:widowControl/>
              <w:numPr>
                <w:ilvl w:val="0"/>
                <w:numId w:val="0"/>
              </w:numPr>
              <w:suppressLineNumbers w:val="0"/>
              <w:spacing w:beforeAutospacing="0" w:afterAutospacing="0"/>
              <w:ind w:left="0" w:right="0"/>
              <w:jc w:val="center"/>
              <w:rPr>
                <w:rFonts w:hint="default" w:ascii="Times New Roman" w:hAnsi="Times New Roman"/>
                <w:sz w:val="18"/>
                <w:szCs w:val="18"/>
                <w:highlight w:val="none"/>
              </w:rPr>
            </w:pPr>
            <w:r>
              <w:rPr>
                <w:rFonts w:hint="default" w:ascii="Times New Roman" w:hAnsi="Times New Roman"/>
                <w:sz w:val="18"/>
                <w:szCs w:val="18"/>
                <w:highlight w:val="none"/>
              </w:rPr>
              <w:t>H</w:t>
            </w:r>
          </w:p>
        </w:tc>
        <w:tc>
          <w:tcPr>
            <w:tcW w:w="2815" w:type="dxa"/>
            <w:tcBorders>
              <w:top w:val="single" w:color="auto" w:sz="4" w:space="0"/>
              <w:left w:val="single" w:color="auto" w:sz="4" w:space="0"/>
              <w:bottom w:val="single" w:color="auto" w:sz="8" w:space="0"/>
              <w:right w:val="single" w:color="auto" w:sz="8" w:space="0"/>
            </w:tcBorders>
            <w:vAlign w:val="center"/>
          </w:tcPr>
          <w:p w14:paraId="09AC72F3">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default" w:ascii="Times New Roman" w:hAnsi="Times New Roman"/>
                <w:sz w:val="18"/>
                <w:szCs w:val="18"/>
                <w:highlight w:val="none"/>
              </w:rPr>
              <w:t>β</w:t>
            </w:r>
            <w:r>
              <w:rPr>
                <w:rFonts w:hint="eastAsia" w:hAnsi="宋体"/>
                <w:sz w:val="18"/>
                <w:szCs w:val="18"/>
                <w:highlight w:val="none"/>
              </w:rPr>
              <w:t>刚玉</w:t>
            </w:r>
          </w:p>
        </w:tc>
      </w:tr>
    </w:tbl>
    <w:p w14:paraId="3CF8A79F">
      <w:pPr>
        <w:pStyle w:val="37"/>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hAnsi="宋体"/>
          <w:highlight w:val="none"/>
        </w:rPr>
      </w:pPr>
      <w:r>
        <w:rPr>
          <w:rFonts w:hint="eastAsia" w:ascii="黑体" w:hAnsi="黑体" w:eastAsia="黑体" w:cs="黑体"/>
          <w:spacing w:val="8"/>
          <w:highlight w:val="none"/>
        </w:rPr>
        <w:t>4.1.2</w:t>
      </w:r>
      <w:r>
        <w:rPr>
          <w:rFonts w:hint="eastAsia" w:ascii="黑体" w:hAnsi="Times New Roman" w:eastAsia="黑体"/>
          <w:color w:val="000000"/>
          <w:highlight w:val="none"/>
        </w:rPr>
        <w:t>　</w:t>
      </w:r>
      <w:r>
        <w:rPr>
          <w:rFonts w:hint="eastAsia" w:ascii="宋体" w:hAnsi="宋体" w:eastAsia="宋体" w:cs="宋体"/>
          <w:color w:val="000000"/>
          <w:highlight w:val="none"/>
        </w:rPr>
        <w:t>制品按其浇铸方法分为两种类型，见表2</w:t>
      </w:r>
      <w:r>
        <w:rPr>
          <w:rFonts w:hint="eastAsia" w:ascii="黑体" w:hAnsi="Times New Roman" w:eastAsia="黑体"/>
          <w:color w:val="000000"/>
          <w:highlight w:val="none"/>
        </w:rPr>
        <w:t>。</w:t>
      </w:r>
    </w:p>
    <w:p w14:paraId="2A43596D">
      <w:pPr>
        <w:pStyle w:val="37"/>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jc w:val="center"/>
        <w:textAlignment w:val="auto"/>
        <w:rPr>
          <w:rFonts w:ascii="Times New Roman" w:hAnsi="Times New Roman" w:eastAsia="黑体"/>
          <w:highlight w:val="none"/>
        </w:rPr>
      </w:pPr>
      <w:r>
        <w:rPr>
          <w:rFonts w:hint="eastAsia" w:ascii="黑体" w:hAnsi="黑体" w:eastAsia="黑体" w:cs="黑体"/>
          <w:highlight w:val="none"/>
        </w:rPr>
        <w:t>表2</w:t>
      </w:r>
      <w:r>
        <w:rPr>
          <w:rFonts w:ascii="Times New Roman" w:hAnsi="Times New Roman" w:eastAsia="黑体"/>
          <w:highlight w:val="none"/>
        </w:rPr>
        <w:t xml:space="preserve">  </w:t>
      </w:r>
      <w:r>
        <w:rPr>
          <w:rFonts w:hint="eastAsia" w:ascii="Times New Roman" w:hAnsi="Times New Roman" w:eastAsia="黑体"/>
          <w:highlight w:val="none"/>
        </w:rPr>
        <w:t>制品浇铸方法类型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1"/>
        <w:gridCol w:w="5762"/>
      </w:tblGrid>
      <w:tr w14:paraId="29EB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31" w:type="dxa"/>
            <w:tcBorders>
              <w:top w:val="single" w:color="auto" w:sz="8" w:space="0"/>
              <w:left w:val="single" w:color="auto" w:sz="8" w:space="0"/>
              <w:bottom w:val="single" w:color="auto" w:sz="8" w:space="0"/>
              <w:right w:val="single" w:color="auto" w:sz="4" w:space="0"/>
            </w:tcBorders>
            <w:vAlign w:val="center"/>
          </w:tcPr>
          <w:p w14:paraId="74CA7C31">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型号</w:t>
            </w:r>
          </w:p>
        </w:tc>
        <w:tc>
          <w:tcPr>
            <w:tcW w:w="5762" w:type="dxa"/>
            <w:tcBorders>
              <w:top w:val="single" w:color="auto" w:sz="8" w:space="0"/>
              <w:left w:val="single" w:color="auto" w:sz="4" w:space="0"/>
              <w:bottom w:val="single" w:color="auto" w:sz="8" w:space="0"/>
              <w:right w:val="single" w:color="auto" w:sz="8" w:space="0"/>
            </w:tcBorders>
            <w:vAlign w:val="center"/>
          </w:tcPr>
          <w:p w14:paraId="170B5C97">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说明</w:t>
            </w:r>
          </w:p>
        </w:tc>
      </w:tr>
      <w:tr w14:paraId="4A7A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31" w:type="dxa"/>
            <w:tcBorders>
              <w:top w:val="single" w:color="auto" w:sz="8" w:space="0"/>
              <w:left w:val="single" w:color="auto" w:sz="8" w:space="0"/>
              <w:bottom w:val="single" w:color="auto" w:sz="4" w:space="0"/>
              <w:right w:val="single" w:color="auto" w:sz="4" w:space="0"/>
            </w:tcBorders>
            <w:vAlign w:val="center"/>
          </w:tcPr>
          <w:p w14:paraId="61D6F38B">
            <w:pPr>
              <w:pStyle w:val="37"/>
              <w:keepNext w:val="0"/>
              <w:keepLines w:val="0"/>
              <w:widowControl/>
              <w:numPr>
                <w:ilvl w:val="0"/>
                <w:numId w:val="0"/>
              </w:numPr>
              <w:suppressLineNumbers w:val="0"/>
              <w:spacing w:beforeAutospacing="0" w:afterAutospacing="0"/>
              <w:ind w:left="0" w:right="0"/>
              <w:jc w:val="center"/>
              <w:rPr>
                <w:rFonts w:hint="default" w:ascii="Times New Roman" w:hAnsi="Times New Roman"/>
                <w:sz w:val="18"/>
                <w:szCs w:val="18"/>
                <w:highlight w:val="none"/>
              </w:rPr>
            </w:pPr>
            <w:r>
              <w:rPr>
                <w:rFonts w:hint="default" w:ascii="Times New Roman" w:hAnsi="Times New Roman"/>
                <w:sz w:val="18"/>
                <w:szCs w:val="18"/>
                <w:highlight w:val="none"/>
              </w:rPr>
              <w:t>PT</w:t>
            </w:r>
          </w:p>
        </w:tc>
        <w:tc>
          <w:tcPr>
            <w:tcW w:w="5762" w:type="dxa"/>
            <w:tcBorders>
              <w:top w:val="single" w:color="auto" w:sz="8" w:space="0"/>
              <w:left w:val="single" w:color="auto" w:sz="4" w:space="0"/>
              <w:bottom w:val="single" w:color="auto" w:sz="4" w:space="0"/>
              <w:right w:val="single" w:color="auto" w:sz="8" w:space="0"/>
            </w:tcBorders>
            <w:vAlign w:val="center"/>
          </w:tcPr>
          <w:p w14:paraId="0E4A10FD">
            <w:pPr>
              <w:pStyle w:val="37"/>
              <w:keepNext w:val="0"/>
              <w:keepLines w:val="0"/>
              <w:widowControl/>
              <w:numPr>
                <w:ilvl w:val="0"/>
                <w:numId w:val="0"/>
              </w:numPr>
              <w:suppressLineNumbers w:val="0"/>
              <w:spacing w:beforeAutospacing="0" w:afterAutospacing="0"/>
              <w:ind w:left="0" w:right="0"/>
              <w:jc w:val="center"/>
              <w:rPr>
                <w:rFonts w:hint="eastAsia" w:hAnsi="宋体"/>
                <w:sz w:val="18"/>
                <w:szCs w:val="18"/>
                <w:highlight w:val="none"/>
              </w:rPr>
            </w:pPr>
            <w:r>
              <w:rPr>
                <w:rFonts w:hint="eastAsia" w:hAnsi="宋体"/>
                <w:sz w:val="18"/>
                <w:szCs w:val="18"/>
                <w:highlight w:val="none"/>
              </w:rPr>
              <w:t>普通浇铸，见图1</w:t>
            </w:r>
          </w:p>
        </w:tc>
      </w:tr>
      <w:tr w14:paraId="3F8D5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31" w:type="dxa"/>
            <w:tcBorders>
              <w:top w:val="single" w:color="auto" w:sz="4" w:space="0"/>
              <w:left w:val="single" w:color="auto" w:sz="8" w:space="0"/>
              <w:bottom w:val="single" w:color="auto" w:sz="4" w:space="0"/>
              <w:right w:val="single" w:color="auto" w:sz="4" w:space="0"/>
            </w:tcBorders>
            <w:shd w:val="clear" w:color="auto" w:fill="auto"/>
            <w:vAlign w:val="center"/>
          </w:tcPr>
          <w:p w14:paraId="6669EF22">
            <w:pPr>
              <w:pStyle w:val="37"/>
              <w:keepNext w:val="0"/>
              <w:keepLines w:val="0"/>
              <w:widowControl/>
              <w:numPr>
                <w:ilvl w:val="0"/>
                <w:numId w:val="0"/>
              </w:numPr>
              <w:suppressLineNumbers w:val="0"/>
              <w:spacing w:beforeAutospacing="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r>
              <w:rPr>
                <w:rFonts w:hint="eastAsia" w:ascii="Times New Roman" w:hAnsi="Times New Roman"/>
                <w:sz w:val="18"/>
                <w:szCs w:val="18"/>
                <w:highlight w:val="none"/>
              </w:rPr>
              <w:t>ZWS</w:t>
            </w:r>
          </w:p>
        </w:tc>
        <w:tc>
          <w:tcPr>
            <w:tcW w:w="5762" w:type="dxa"/>
            <w:tcBorders>
              <w:top w:val="single" w:color="auto" w:sz="4" w:space="0"/>
              <w:left w:val="single" w:color="auto" w:sz="4" w:space="0"/>
              <w:bottom w:val="single" w:color="auto" w:sz="4" w:space="0"/>
              <w:right w:val="single" w:color="auto" w:sz="8" w:space="0"/>
            </w:tcBorders>
            <w:shd w:val="clear" w:color="auto" w:fill="auto"/>
            <w:vAlign w:val="center"/>
          </w:tcPr>
          <w:p w14:paraId="6DFBDF08">
            <w:pPr>
              <w:pStyle w:val="37"/>
              <w:keepNext w:val="0"/>
              <w:keepLines w:val="0"/>
              <w:widowControl/>
              <w:numPr>
                <w:ilvl w:val="0"/>
                <w:numId w:val="0"/>
              </w:numPr>
              <w:suppressLineNumbers w:val="0"/>
              <w:spacing w:beforeAutospacing="0" w:afterAutospacing="0"/>
              <w:ind w:left="0" w:leftChars="0" w:right="0" w:firstLine="0" w:firstLineChars="0"/>
              <w:jc w:val="center"/>
              <w:rPr>
                <w:rFonts w:hint="eastAsia" w:ascii="宋体" w:hAnsi="宋体" w:eastAsia="宋体" w:cs="Times New Roman"/>
                <w:sz w:val="18"/>
                <w:szCs w:val="18"/>
                <w:highlight w:val="none"/>
                <w:lang w:val="en-US" w:eastAsia="zh-CN" w:bidi="ar-SA"/>
              </w:rPr>
            </w:pPr>
            <w:r>
              <w:rPr>
                <w:rFonts w:hint="eastAsia" w:hAnsi="宋体"/>
                <w:sz w:val="18"/>
                <w:szCs w:val="18"/>
                <w:highlight w:val="none"/>
                <w:lang w:val="en-US" w:eastAsia="zh-CN"/>
              </w:rPr>
              <w:t>准无缩孔浇铸，</w:t>
            </w:r>
            <w:r>
              <w:rPr>
                <w:rFonts w:hint="eastAsia" w:hAnsi="宋体"/>
                <w:sz w:val="18"/>
                <w:szCs w:val="18"/>
                <w:highlight w:val="none"/>
              </w:rPr>
              <w:t>切断面允许有缩孔，深度不超过砖高度的1/3，见图2</w:t>
            </w:r>
          </w:p>
        </w:tc>
      </w:tr>
      <w:tr w14:paraId="0001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31" w:type="dxa"/>
            <w:tcBorders>
              <w:top w:val="single" w:color="auto" w:sz="4" w:space="0"/>
              <w:left w:val="single" w:color="auto" w:sz="8" w:space="0"/>
              <w:bottom w:val="single" w:color="auto" w:sz="8" w:space="0"/>
              <w:right w:val="single" w:color="auto" w:sz="4" w:space="0"/>
            </w:tcBorders>
            <w:vAlign w:val="center"/>
          </w:tcPr>
          <w:p w14:paraId="54AF4D0D">
            <w:pPr>
              <w:pStyle w:val="37"/>
              <w:keepNext w:val="0"/>
              <w:keepLines w:val="0"/>
              <w:widowControl/>
              <w:numPr>
                <w:ilvl w:val="0"/>
                <w:numId w:val="0"/>
              </w:numPr>
              <w:suppressLineNumbers w:val="0"/>
              <w:spacing w:beforeAutospacing="0" w:afterAutospacing="0"/>
              <w:ind w:left="0" w:right="0"/>
              <w:jc w:val="center"/>
              <w:rPr>
                <w:rFonts w:hint="default" w:ascii="Times New Roman" w:hAnsi="Times New Roman"/>
                <w:sz w:val="18"/>
                <w:szCs w:val="18"/>
                <w:highlight w:val="none"/>
              </w:rPr>
            </w:pPr>
            <w:r>
              <w:rPr>
                <w:rFonts w:hint="default" w:ascii="Times New Roman" w:hAnsi="Times New Roman"/>
                <w:sz w:val="18"/>
                <w:szCs w:val="18"/>
                <w:highlight w:val="none"/>
              </w:rPr>
              <w:t>WS</w:t>
            </w:r>
          </w:p>
        </w:tc>
        <w:tc>
          <w:tcPr>
            <w:tcW w:w="5762" w:type="dxa"/>
            <w:tcBorders>
              <w:top w:val="single" w:color="auto" w:sz="4" w:space="0"/>
              <w:left w:val="single" w:color="auto" w:sz="4" w:space="0"/>
              <w:bottom w:val="single" w:color="auto" w:sz="8" w:space="0"/>
              <w:right w:val="single" w:color="auto" w:sz="8" w:space="0"/>
            </w:tcBorders>
            <w:vAlign w:val="center"/>
          </w:tcPr>
          <w:p w14:paraId="642BD119">
            <w:pPr>
              <w:pStyle w:val="37"/>
              <w:keepNext w:val="0"/>
              <w:keepLines w:val="0"/>
              <w:widowControl/>
              <w:numPr>
                <w:ilvl w:val="0"/>
                <w:numId w:val="0"/>
              </w:numPr>
              <w:suppressLineNumbers w:val="0"/>
              <w:spacing w:beforeAutospacing="0" w:afterAutospacing="0"/>
              <w:ind w:left="0" w:right="0"/>
              <w:jc w:val="center"/>
              <w:rPr>
                <w:rFonts w:hint="eastAsia" w:hAnsi="宋体" w:eastAsia="宋体"/>
                <w:sz w:val="18"/>
                <w:szCs w:val="18"/>
                <w:highlight w:val="none"/>
                <w:lang w:eastAsia="zh-CN"/>
              </w:rPr>
            </w:pPr>
            <w:r>
              <w:rPr>
                <w:rFonts w:hint="eastAsia" w:hAnsi="宋体"/>
                <w:sz w:val="18"/>
                <w:szCs w:val="18"/>
                <w:highlight w:val="none"/>
              </w:rPr>
              <w:t>无缩孔浇铸，见图</w:t>
            </w:r>
            <w:r>
              <w:rPr>
                <w:rFonts w:hint="eastAsia" w:hAnsi="宋体"/>
                <w:sz w:val="18"/>
                <w:szCs w:val="18"/>
                <w:highlight w:val="none"/>
                <w:lang w:val="en-US" w:eastAsia="zh-CN"/>
              </w:rPr>
              <w:t>3</w:t>
            </w:r>
          </w:p>
        </w:tc>
      </w:tr>
    </w:tbl>
    <w:p w14:paraId="78C554B1">
      <w:pPr>
        <w:keepNext w:val="0"/>
        <w:keepLines w:val="0"/>
        <w:pageBreakBefore w:val="0"/>
        <w:widowControl w:val="0"/>
        <w:kinsoku/>
        <w:wordWrap/>
        <w:overflowPunct/>
        <w:topLinePunct w:val="0"/>
        <w:autoSpaceDE/>
        <w:autoSpaceDN/>
        <w:bidi w:val="0"/>
        <w:adjustRightInd/>
        <w:snapToGrid/>
        <w:jc w:val="center"/>
        <w:textAlignment w:val="auto"/>
        <w:rPr>
          <w:highlight w:val="none"/>
        </w:rPr>
      </w:pPr>
      <w:bookmarkStart w:id="40" w:name="_Toc73958782"/>
      <w:bookmarkStart w:id="41" w:name="_Toc73622016"/>
    </w:p>
    <w:p w14:paraId="104AD5CA">
      <w:pPr>
        <w:keepNext w:val="0"/>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drawing>
          <wp:inline distT="0" distB="0" distL="114300" distR="114300">
            <wp:extent cx="2865755" cy="1771015"/>
            <wp:effectExtent l="0" t="0" r="4445" b="6985"/>
            <wp:docPr id="19" name="图片 3"/>
            <wp:cNvGraphicFramePr/>
            <a:graphic xmlns:a="http://schemas.openxmlformats.org/drawingml/2006/main">
              <a:graphicData uri="http://schemas.openxmlformats.org/drawingml/2006/picture">
                <pic:pic xmlns:pic="http://schemas.openxmlformats.org/drawingml/2006/picture">
                  <pic:nvPicPr>
                    <pic:cNvPr id="19" name="图片 3"/>
                    <pic:cNvPicPr/>
                  </pic:nvPicPr>
                  <pic:blipFill>
                    <a:blip r:embed="rId7"/>
                    <a:stretch>
                      <a:fillRect/>
                    </a:stretch>
                  </pic:blipFill>
                  <pic:spPr>
                    <a:xfrm>
                      <a:off x="0" y="0"/>
                      <a:ext cx="2865755" cy="1771015"/>
                    </a:xfrm>
                    <a:prstGeom prst="rect">
                      <a:avLst/>
                    </a:prstGeom>
                    <a:noFill/>
                    <a:ln>
                      <a:noFill/>
                    </a:ln>
                  </pic:spPr>
                </pic:pic>
              </a:graphicData>
            </a:graphic>
          </wp:inline>
        </w:drawing>
      </w:r>
    </w:p>
    <w:p w14:paraId="11B41925">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highlight w:val="none"/>
        </w:rPr>
      </w:pPr>
      <w:r>
        <w:rPr>
          <w:sz w:val="21"/>
          <w:highlight w:val="none"/>
        </w:rPr>
        <mc:AlternateContent>
          <mc:Choice Requires="wpg">
            <w:drawing>
              <wp:anchor distT="0" distB="0" distL="114300" distR="114300" simplePos="0" relativeHeight="251666432" behindDoc="0" locked="0" layoutInCell="1" allowOverlap="1">
                <wp:simplePos x="0" y="0"/>
                <wp:positionH relativeFrom="column">
                  <wp:posOffset>4083050</wp:posOffset>
                </wp:positionH>
                <wp:positionV relativeFrom="paragraph">
                  <wp:posOffset>187325</wp:posOffset>
                </wp:positionV>
                <wp:extent cx="1436370" cy="386715"/>
                <wp:effectExtent l="0" t="0" r="0" b="24765"/>
                <wp:wrapNone/>
                <wp:docPr id="18" name="组合 18"/>
                <wp:cNvGraphicFramePr/>
                <a:graphic xmlns:a="http://schemas.openxmlformats.org/drawingml/2006/main">
                  <a:graphicData uri="http://schemas.microsoft.com/office/word/2010/wordprocessingGroup">
                    <wpg:wgp>
                      <wpg:cNvGrpSpPr/>
                      <wpg:grpSpPr>
                        <a:xfrm>
                          <a:off x="0" y="0"/>
                          <a:ext cx="1436370" cy="386715"/>
                          <a:chOff x="8436" y="97640"/>
                          <a:chExt cx="1771" cy="514"/>
                        </a:xfrm>
                      </wpg:grpSpPr>
                      <wps:wsp>
                        <wps:cNvPr id="16" name="直接箭头连接符 16"/>
                        <wps:cNvCnPr/>
                        <wps:spPr>
                          <a:xfrm flipH="1">
                            <a:off x="8436" y="97914"/>
                            <a:ext cx="788" cy="24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17" name="文本框 17"/>
                        <wps:cNvSpPr txBox="1"/>
                        <wps:spPr>
                          <a:xfrm>
                            <a:off x="9129" y="97640"/>
                            <a:ext cx="1078" cy="4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C9BE26">
                              <w:pPr>
                                <w:rPr>
                                  <w:rFonts w:hint="eastAsia" w:eastAsiaTheme="minorEastAsia"/>
                                  <w:sz w:val="18"/>
                                  <w:szCs w:val="20"/>
                                  <w:lang w:eastAsia="zh-CN"/>
                                </w:rPr>
                              </w:pPr>
                              <w:r>
                                <w:rPr>
                                  <w:rFonts w:hint="eastAsia" w:ascii="宋体" w:hAnsi="宋体" w:eastAsia="宋体" w:cs="宋体"/>
                                  <w:b/>
                                  <w:bCs/>
                                  <w:sz w:val="18"/>
                                  <w:szCs w:val="20"/>
                                  <w:lang w:eastAsia="zh-CN"/>
                                </w:rPr>
                                <w:t>切除部分</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21.5pt;margin-top:14.75pt;height:30.45pt;width:113.1pt;z-index:251666432;mso-width-relative:page;mso-height-relative:page;" coordorigin="8436,97640" coordsize="1771,514" o:gfxdata="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C65HYLaAAAACQEAAA8AAAAAAAAAAQAgAAAAIgAAAGRycy9kb3ducmV2LnhtbFBLAQIUABQA&#10;AAAIAIdO4kAhdTnqfQMAAKwHAAAOAAAAAAAAAAEAIAAAACkBAABkcnMvZTJvRG9jLnhtbFBLBQYA&#10;AAAABgAGAFkBAAAYBwAAAAA=&#10;">
                <o:lock v:ext="edit" aspectratio="f"/>
                <v:shape id="_x0000_s1026" o:spid="_x0000_s1026" o:spt="32" type="#_x0000_t32" style="position:absolute;left:8436;top:97914;flip:x;height:240;width:788;" filled="f" stroked="t" coordsize="21600,21600" o:gfxdata="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tqH/ugAAANsA&#10;AAAPAAAAAAAAAAEAIAAAACIAAABkcnMvZG93bnJldi54bWxQSwECFAAUAAAACACHTuJAMy8FnjsA&#10;AAA5AAAAEAAAAAAAAAABACAAAAAJAQAAZHJzL3NoYXBleG1sLnhtbFBLBQYAAAAABgAGAFsBAACz&#10;AwAAAAA=&#10;">
                  <v:fill on="f" focussize="0,0"/>
                  <v:stroke weight="0.5pt" color="#000000 [3213]" miterlimit="8" joinstyle="miter" endarrow="open"/>
                  <v:imagedata o:title=""/>
                  <o:lock v:ext="edit" aspectratio="f"/>
                </v:shape>
                <v:shape id="_x0000_s1026" o:spid="_x0000_s1026" o:spt="202" type="#_x0000_t202" style="position:absolute;left:9129;top:97640;height:483;width:1078;" filled="f" stroked="f" coordsize="21600,21600" o:gfxdata="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N0fS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4C9BE26">
                        <w:pPr>
                          <w:rPr>
                            <w:rFonts w:hint="eastAsia" w:eastAsiaTheme="minorEastAsia"/>
                            <w:sz w:val="18"/>
                            <w:szCs w:val="20"/>
                            <w:lang w:eastAsia="zh-CN"/>
                          </w:rPr>
                        </w:pPr>
                        <w:r>
                          <w:rPr>
                            <w:rFonts w:hint="eastAsia" w:ascii="宋体" w:hAnsi="宋体" w:eastAsia="宋体" w:cs="宋体"/>
                            <w:b/>
                            <w:bCs/>
                            <w:sz w:val="18"/>
                            <w:szCs w:val="20"/>
                            <w:lang w:eastAsia="zh-CN"/>
                          </w:rPr>
                          <w:t>切除部分</w:t>
                        </w:r>
                      </w:p>
                    </w:txbxContent>
                  </v:textbox>
                </v:shape>
              </v:group>
            </w:pict>
          </mc:Fallback>
        </mc:AlternateContent>
      </w:r>
      <w:r>
        <w:rPr>
          <w:rFonts w:hint="eastAsia" w:ascii="Times New Roman" w:hAnsi="Times New Roman" w:eastAsia="黑体"/>
          <w:szCs w:val="21"/>
          <w:highlight w:val="none"/>
        </w:rPr>
        <w:t>图1  PT型制品剖面示意图</w:t>
      </w:r>
    </w:p>
    <w:p w14:paraId="7694CD31">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highlight w:val="none"/>
        </w:rPr>
      </w:pPr>
      <w:r>
        <w:rPr>
          <w:highlight w:val="none"/>
        </w:rPr>
        <w:drawing>
          <wp:inline distT="0" distB="0" distL="114300" distR="114300">
            <wp:extent cx="2865755" cy="1771015"/>
            <wp:effectExtent l="0" t="0" r="4445" b="6985"/>
            <wp:docPr id="15" name="图片 2"/>
            <wp:cNvGraphicFramePr/>
            <a:graphic xmlns:a="http://schemas.openxmlformats.org/drawingml/2006/main">
              <a:graphicData uri="http://schemas.openxmlformats.org/drawingml/2006/picture">
                <pic:pic xmlns:pic="http://schemas.openxmlformats.org/drawingml/2006/picture">
                  <pic:nvPicPr>
                    <pic:cNvPr id="15" name="图片 2"/>
                    <pic:cNvPicPr/>
                  </pic:nvPicPr>
                  <pic:blipFill>
                    <a:blip r:embed="rId8"/>
                    <a:stretch>
                      <a:fillRect/>
                    </a:stretch>
                  </pic:blipFill>
                  <pic:spPr>
                    <a:xfrm>
                      <a:off x="0" y="0"/>
                      <a:ext cx="2865755" cy="1771015"/>
                    </a:xfrm>
                    <a:prstGeom prst="rect">
                      <a:avLst/>
                    </a:prstGeom>
                    <a:noFill/>
                    <a:ln>
                      <a:noFill/>
                    </a:ln>
                  </pic:spPr>
                </pic:pic>
              </a:graphicData>
            </a:graphic>
          </wp:inline>
        </w:drawing>
      </w:r>
    </w:p>
    <w:p w14:paraId="7C2573DC">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highlight w:val="none"/>
        </w:rPr>
      </w:pPr>
      <w:r>
        <w:rPr>
          <w:rFonts w:hint="eastAsia" w:ascii="Times New Roman" w:hAnsi="Times New Roman" w:eastAsia="黑体"/>
          <w:szCs w:val="21"/>
          <w:highlight w:val="none"/>
        </w:rPr>
        <w:t>图</w:t>
      </w:r>
      <w:r>
        <w:rPr>
          <w:rFonts w:hint="eastAsia" w:ascii="Times New Roman" w:hAnsi="Times New Roman" w:eastAsia="黑体"/>
          <w:szCs w:val="21"/>
          <w:highlight w:val="none"/>
          <w:lang w:val="en-US" w:eastAsia="zh-CN"/>
        </w:rPr>
        <w:t>2</w:t>
      </w:r>
      <w:r>
        <w:rPr>
          <w:rFonts w:hint="eastAsia" w:ascii="Times New Roman" w:hAnsi="Times New Roman" w:eastAsia="黑体"/>
          <w:szCs w:val="21"/>
          <w:highlight w:val="none"/>
        </w:rPr>
        <w:t xml:space="preserve">  </w:t>
      </w:r>
      <w:r>
        <w:rPr>
          <w:rFonts w:hint="eastAsia" w:ascii="Times New Roman" w:hAnsi="Times New Roman" w:eastAsia="黑体"/>
          <w:szCs w:val="21"/>
          <w:highlight w:val="none"/>
          <w:lang w:val="en-US" w:eastAsia="zh-CN"/>
        </w:rPr>
        <w:t>ZWS</w:t>
      </w:r>
      <w:r>
        <w:rPr>
          <w:rFonts w:hint="eastAsia" w:ascii="Times New Roman" w:hAnsi="Times New Roman" w:eastAsia="黑体"/>
          <w:szCs w:val="21"/>
          <w:highlight w:val="none"/>
        </w:rPr>
        <w:t>型制品剖面示意图</w:t>
      </w:r>
    </w:p>
    <w:p w14:paraId="7106222C">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highlight w:val="none"/>
        </w:rPr>
      </w:pPr>
      <w:r>
        <w:rPr>
          <w:sz w:val="21"/>
          <w:highlight w:val="none"/>
        </w:rPr>
        <mc:AlternateContent>
          <mc:Choice Requires="wpg">
            <w:drawing>
              <wp:anchor distT="0" distB="0" distL="114300" distR="114300" simplePos="0" relativeHeight="251667456" behindDoc="0" locked="0" layoutInCell="1" allowOverlap="1">
                <wp:simplePos x="0" y="0"/>
                <wp:positionH relativeFrom="column">
                  <wp:posOffset>4171950</wp:posOffset>
                </wp:positionH>
                <wp:positionV relativeFrom="paragraph">
                  <wp:posOffset>78105</wp:posOffset>
                </wp:positionV>
                <wp:extent cx="1436370" cy="386715"/>
                <wp:effectExtent l="0" t="0" r="0" b="34290"/>
                <wp:wrapNone/>
                <wp:docPr id="21" name="组合 21"/>
                <wp:cNvGraphicFramePr/>
                <a:graphic xmlns:a="http://schemas.openxmlformats.org/drawingml/2006/main">
                  <a:graphicData uri="http://schemas.microsoft.com/office/word/2010/wordprocessingGroup">
                    <wpg:wgp>
                      <wpg:cNvGrpSpPr/>
                      <wpg:grpSpPr>
                        <a:xfrm>
                          <a:off x="0" y="0"/>
                          <a:ext cx="1436370" cy="386715"/>
                          <a:chOff x="8436" y="97640"/>
                          <a:chExt cx="1771" cy="514"/>
                        </a:xfrm>
                      </wpg:grpSpPr>
                      <wps:wsp>
                        <wps:cNvPr id="23" name="直接箭头连接符 16"/>
                        <wps:cNvCnPr/>
                        <wps:spPr>
                          <a:xfrm flipH="1">
                            <a:off x="8436" y="97914"/>
                            <a:ext cx="788" cy="24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4" name="文本框 17"/>
                        <wps:cNvSpPr txBox="1"/>
                        <wps:spPr>
                          <a:xfrm>
                            <a:off x="9129" y="97640"/>
                            <a:ext cx="1078" cy="4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BCED8">
                              <w:pPr>
                                <w:rPr>
                                  <w:rFonts w:hint="eastAsia" w:eastAsiaTheme="minorEastAsia"/>
                                  <w:sz w:val="18"/>
                                  <w:szCs w:val="20"/>
                                  <w:lang w:eastAsia="zh-CN"/>
                                </w:rPr>
                              </w:pPr>
                              <w:r>
                                <w:rPr>
                                  <w:rFonts w:hint="eastAsia" w:ascii="宋体" w:hAnsi="宋体" w:eastAsia="宋体" w:cs="宋体"/>
                                  <w:b/>
                                  <w:bCs/>
                                  <w:sz w:val="18"/>
                                  <w:szCs w:val="20"/>
                                  <w:lang w:eastAsia="zh-CN"/>
                                </w:rPr>
                                <w:t>切除部分</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28.5pt;margin-top:6.15pt;height:30.45pt;width:113.1pt;z-index:251667456;mso-width-relative:page;mso-height-relative:page;" coordorigin="8436,97640" coordsize="1771,514" o:gfxdata="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S6EzzNkAAAAJAQAADwAAAAAAAAABACAAAAAiAAAAZHJzL2Rvd25yZXYueG1sUEsBAhQAFAAA&#10;AAgAh07iQGjzUDF9AwAArAcAAA4AAAAAAAAAAQAgAAAAKAEAAGRycy9lMm9Eb2MueG1sUEsFBgAA&#10;AAAGAAYAWQEAABcHAAAAAA==&#10;">
                <o:lock v:ext="edit" aspectratio="f"/>
                <v:shape id="直接箭头连接符 16" o:spid="_x0000_s1026" o:spt="32" type="#_x0000_t32" style="position:absolute;left:8436;top:97914;flip:x;height:240;width:788;" filled="f" stroked="t" coordsize="21600,21600" o:gfxdata="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rcjavQAA&#10;ANsAAAAPAAAAAAAAAAEAIAAAACIAAABkcnMvZG93bnJldi54bWxQSwECFAAUAAAACACHTuJAMy8F&#10;njsAAAA5AAAAEAAAAAAAAAABACAAAAAMAQAAZHJzL3NoYXBleG1sLnhtbFBLBQYAAAAABgAGAFsB&#10;AAC2AwAAAAA=&#10;">
                  <v:fill on="f" focussize="0,0"/>
                  <v:stroke weight="0.5pt" color="#000000 [3213]" miterlimit="8" joinstyle="miter" endarrow="open"/>
                  <v:imagedata o:title=""/>
                  <o:lock v:ext="edit" aspectratio="f"/>
                </v:shape>
                <v:shape id="文本框 17" o:spid="_x0000_s1026" o:spt="202" type="#_x0000_t202" style="position:absolute;left:9129;top:97640;height:483;width:1078;"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35DBCED8">
                        <w:pPr>
                          <w:rPr>
                            <w:rFonts w:hint="eastAsia" w:eastAsiaTheme="minorEastAsia"/>
                            <w:sz w:val="18"/>
                            <w:szCs w:val="20"/>
                            <w:lang w:eastAsia="zh-CN"/>
                          </w:rPr>
                        </w:pPr>
                        <w:r>
                          <w:rPr>
                            <w:rFonts w:hint="eastAsia" w:ascii="宋体" w:hAnsi="宋体" w:eastAsia="宋体" w:cs="宋体"/>
                            <w:b/>
                            <w:bCs/>
                            <w:sz w:val="18"/>
                            <w:szCs w:val="20"/>
                            <w:lang w:eastAsia="zh-CN"/>
                          </w:rPr>
                          <w:t>切除部分</w:t>
                        </w:r>
                      </w:p>
                    </w:txbxContent>
                  </v:textbox>
                </v:shape>
              </v:group>
            </w:pict>
          </mc:Fallback>
        </mc:AlternateContent>
      </w:r>
      <w:r>
        <w:rPr>
          <w:highlight w:val="none"/>
        </w:rPr>
        <w:drawing>
          <wp:inline distT="0" distB="0" distL="114300" distR="114300">
            <wp:extent cx="2865755" cy="1771015"/>
            <wp:effectExtent l="0" t="0" r="4445" b="6985"/>
            <wp:docPr id="20" name="图片 4"/>
            <wp:cNvGraphicFramePr/>
            <a:graphic xmlns:a="http://schemas.openxmlformats.org/drawingml/2006/main">
              <a:graphicData uri="http://schemas.openxmlformats.org/drawingml/2006/picture">
                <pic:pic xmlns:pic="http://schemas.openxmlformats.org/drawingml/2006/picture">
                  <pic:nvPicPr>
                    <pic:cNvPr id="20" name="图片 4"/>
                    <pic:cNvPicPr/>
                  </pic:nvPicPr>
                  <pic:blipFill>
                    <a:blip r:embed="rId9"/>
                    <a:stretch>
                      <a:fillRect/>
                    </a:stretch>
                  </pic:blipFill>
                  <pic:spPr>
                    <a:xfrm>
                      <a:off x="0" y="0"/>
                      <a:ext cx="2865755" cy="1771015"/>
                    </a:xfrm>
                    <a:prstGeom prst="rect">
                      <a:avLst/>
                    </a:prstGeom>
                    <a:noFill/>
                    <a:ln>
                      <a:noFill/>
                    </a:ln>
                  </pic:spPr>
                </pic:pic>
              </a:graphicData>
            </a:graphic>
          </wp:inline>
        </w:drawing>
      </w:r>
    </w:p>
    <w:p w14:paraId="23CC70F2">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highlight w:val="none"/>
        </w:rPr>
      </w:pPr>
      <w:r>
        <w:rPr>
          <w:rFonts w:hint="eastAsia" w:ascii="Times New Roman" w:hAnsi="Times New Roman" w:eastAsia="黑体"/>
          <w:szCs w:val="21"/>
          <w:highlight w:val="none"/>
        </w:rPr>
        <w:t>图</w:t>
      </w:r>
      <w:r>
        <w:rPr>
          <w:rFonts w:hint="eastAsia" w:ascii="黑体" w:hAnsi="黑体" w:eastAsia="黑体" w:cs="黑体"/>
          <w:szCs w:val="21"/>
          <w:highlight w:val="none"/>
          <w:lang w:val="en-US" w:eastAsia="zh-CN"/>
        </w:rPr>
        <w:t>3</w:t>
      </w:r>
      <w:r>
        <w:rPr>
          <w:rFonts w:hint="eastAsia" w:ascii="Times New Roman" w:hAnsi="Times New Roman" w:eastAsia="黑体"/>
          <w:szCs w:val="21"/>
          <w:highlight w:val="none"/>
        </w:rPr>
        <w:t xml:space="preserve">  WS型制品剖面示意图</w:t>
      </w:r>
    </w:p>
    <w:p w14:paraId="7515ADC1">
      <w:pPr>
        <w:pStyle w:val="61"/>
        <w:spacing w:before="156" w:after="156"/>
        <w:rPr>
          <w:highlight w:val="none"/>
        </w:rPr>
      </w:pPr>
      <w:bookmarkStart w:id="42" w:name="_Toc19590"/>
      <w:r>
        <w:rPr>
          <w:highlight w:val="none"/>
        </w:rPr>
        <w:t>4.2 标记</w:t>
      </w:r>
      <w:bookmarkEnd w:id="42"/>
    </w:p>
    <w:p w14:paraId="5BB7CE02">
      <w:pPr>
        <w:pStyle w:val="18"/>
        <w:rPr>
          <w:rFonts w:hint="eastAsia" w:hAnsi="宋体" w:cs="宋体"/>
          <w:highlight w:val="none"/>
        </w:rPr>
      </w:pPr>
      <w:r>
        <w:rPr>
          <w:rFonts w:hint="eastAsia" w:hAnsi="宋体" w:cs="宋体"/>
          <w:highlight w:val="none"/>
        </w:rPr>
        <w:t>制品标记由制品名称</w:t>
      </w:r>
      <w:r>
        <w:rPr>
          <w:rFonts w:hint="eastAsia" w:hAnsi="宋体" w:cs="宋体"/>
          <w:highlight w:val="none"/>
          <w:lang w:eastAsia="zh-CN"/>
        </w:rPr>
        <w:t>、</w:t>
      </w:r>
      <w:r>
        <w:rPr>
          <w:rFonts w:hint="eastAsia" w:hAnsi="宋体" w:cs="宋体"/>
          <w:highlight w:val="none"/>
        </w:rPr>
        <w:t>代号、牌号</w:t>
      </w:r>
      <w:r>
        <w:rPr>
          <w:rFonts w:hint="eastAsia" w:hAnsi="宋体" w:cs="宋体"/>
          <w:highlight w:val="none"/>
          <w:lang w:eastAsia="zh-CN"/>
        </w:rPr>
        <w:t>和</w:t>
      </w:r>
      <w:r>
        <w:rPr>
          <w:rFonts w:hint="eastAsia" w:hAnsi="宋体" w:cs="宋体"/>
          <w:highlight w:val="none"/>
        </w:rPr>
        <w:t>浇铸类型组成。</w:t>
      </w:r>
    </w:p>
    <w:p w14:paraId="3566F72C">
      <w:pPr>
        <w:pStyle w:val="18"/>
        <w:ind w:firstLine="360"/>
        <w:rPr>
          <w:rFonts w:hint="eastAsia" w:hAnsi="宋体" w:eastAsia="宋体" w:cs="宋体"/>
          <w:sz w:val="18"/>
          <w:szCs w:val="16"/>
          <w:highlight w:val="none"/>
          <w:lang w:eastAsia="zh-CN"/>
        </w:rPr>
      </w:pPr>
      <w:r>
        <w:rPr>
          <w:rFonts w:hint="eastAsia" w:ascii="黑体" w:hAnsi="黑体" w:eastAsia="黑体" w:cs="黑体"/>
          <w:sz w:val="18"/>
          <w:szCs w:val="16"/>
          <w:highlight w:val="none"/>
        </w:rPr>
        <w:t>示例</w:t>
      </w:r>
      <w:r>
        <w:rPr>
          <w:rFonts w:hint="eastAsia" w:hAnsi="宋体" w:cs="宋体"/>
          <w:sz w:val="18"/>
          <w:szCs w:val="16"/>
          <w:highlight w:val="none"/>
        </w:rPr>
        <w:t>：主晶相为</w:t>
      </w:r>
      <w:r>
        <w:rPr>
          <w:rFonts w:ascii="Times New Roman" w:hAnsi="Times New Roman"/>
          <w:sz w:val="18"/>
          <w:szCs w:val="16"/>
          <w:highlight w:val="none"/>
        </w:rPr>
        <w:t>α</w:t>
      </w:r>
      <w:r>
        <w:rPr>
          <w:rFonts w:hint="eastAsia" w:hAnsi="宋体" w:cs="宋体"/>
          <w:sz w:val="18"/>
          <w:szCs w:val="16"/>
          <w:highlight w:val="none"/>
        </w:rPr>
        <w:t>刚玉和</w:t>
      </w:r>
      <w:r>
        <w:rPr>
          <w:rFonts w:ascii="Times New Roman" w:hAnsi="Times New Roman"/>
          <w:sz w:val="18"/>
          <w:szCs w:val="16"/>
          <w:highlight w:val="none"/>
        </w:rPr>
        <w:t>β</w:t>
      </w:r>
      <w:r>
        <w:rPr>
          <w:rFonts w:hint="eastAsia" w:hAnsi="宋体" w:cs="宋体"/>
          <w:sz w:val="18"/>
          <w:szCs w:val="16"/>
          <w:highlight w:val="none"/>
        </w:rPr>
        <w:t>刚玉（</w:t>
      </w:r>
      <w:r>
        <w:rPr>
          <w:rFonts w:ascii="Times New Roman" w:hAnsi="Times New Roman"/>
          <w:sz w:val="18"/>
          <w:szCs w:val="16"/>
          <w:highlight w:val="none"/>
        </w:rPr>
        <w:t>M</w:t>
      </w:r>
      <w:r>
        <w:rPr>
          <w:rFonts w:hint="eastAsia" w:hAnsi="宋体" w:cs="宋体"/>
          <w:sz w:val="18"/>
          <w:szCs w:val="16"/>
          <w:highlight w:val="none"/>
        </w:rPr>
        <w:t>），普通浇铸的熔铸氧化铝（</w:t>
      </w:r>
      <w:r>
        <w:rPr>
          <w:rFonts w:ascii="Times New Roman" w:hAnsi="Times New Roman"/>
          <w:sz w:val="18"/>
          <w:szCs w:val="16"/>
          <w:highlight w:val="none"/>
        </w:rPr>
        <w:t>RA</w:t>
      </w:r>
      <w:r>
        <w:rPr>
          <w:rFonts w:hint="eastAsia" w:hAnsi="宋体" w:cs="宋体"/>
          <w:sz w:val="18"/>
          <w:szCs w:val="16"/>
          <w:highlight w:val="none"/>
        </w:rPr>
        <w:t>）制品标记为</w:t>
      </w:r>
      <w:r>
        <w:rPr>
          <w:rFonts w:hint="eastAsia" w:hAnsi="宋体" w:cs="宋体"/>
          <w:sz w:val="18"/>
          <w:szCs w:val="16"/>
          <w:highlight w:val="none"/>
          <w:lang w:eastAsia="zh-CN"/>
        </w:rPr>
        <w:t>：</w:t>
      </w:r>
    </w:p>
    <w:p w14:paraId="4A2521A9">
      <w:pPr>
        <w:pStyle w:val="18"/>
        <w:ind w:firstLine="360"/>
        <w:jc w:val="center"/>
        <w:rPr>
          <w:rFonts w:hint="eastAsia" w:hAnsi="宋体" w:cs="宋体"/>
          <w:sz w:val="18"/>
          <w:szCs w:val="16"/>
          <w:highlight w:val="none"/>
        </w:rPr>
      </w:pPr>
      <w:r>
        <w:rPr>
          <w:rFonts w:hint="eastAsia" w:ascii="Times New Roman" w:hAnsi="Times New Roman"/>
          <w:sz w:val="18"/>
          <w:szCs w:val="16"/>
          <w:highlight w:val="none"/>
          <w:lang w:val="en-US" w:eastAsia="zh-CN"/>
        </w:rPr>
        <w:t xml:space="preserve">熔铸氧化铝砖 </w:t>
      </w:r>
      <w:r>
        <w:rPr>
          <w:rFonts w:ascii="Times New Roman" w:hAnsi="Times New Roman"/>
          <w:sz w:val="18"/>
          <w:szCs w:val="16"/>
          <w:highlight w:val="none"/>
        </w:rPr>
        <w:t>RA-M-PT</w:t>
      </w:r>
      <w:r>
        <w:rPr>
          <w:rFonts w:hint="eastAsia" w:ascii="Times New Roman" w:hAnsi="Times New Roman"/>
          <w:sz w:val="18"/>
          <w:szCs w:val="16"/>
          <w:highlight w:val="none"/>
        </w:rPr>
        <w:t xml:space="preserve"> </w:t>
      </w:r>
      <w:r>
        <w:rPr>
          <w:rFonts w:ascii="Times New Roman" w:hAnsi="Times New Roman"/>
          <w:sz w:val="18"/>
          <w:szCs w:val="16"/>
          <w:highlight w:val="none"/>
        </w:rPr>
        <w:t xml:space="preserve"> </w:t>
      </w:r>
    </w:p>
    <w:p w14:paraId="0D891F99">
      <w:pPr>
        <w:pStyle w:val="60"/>
        <w:spacing w:before="312" w:after="312"/>
        <w:rPr>
          <w:highlight w:val="none"/>
        </w:rPr>
      </w:pPr>
      <w:bookmarkStart w:id="43" w:name="_Toc5388"/>
      <w:bookmarkStart w:id="44" w:name="_Toc21400"/>
      <w:r>
        <w:rPr>
          <w:highlight w:val="none"/>
        </w:rPr>
        <w:t>5　技术要求</w:t>
      </w:r>
      <w:bookmarkEnd w:id="40"/>
      <w:bookmarkEnd w:id="41"/>
      <w:bookmarkEnd w:id="43"/>
      <w:bookmarkEnd w:id="44"/>
    </w:p>
    <w:p w14:paraId="608DE3D5">
      <w:pPr>
        <w:pStyle w:val="61"/>
        <w:spacing w:before="156" w:after="156"/>
      </w:pPr>
      <w:bookmarkStart w:id="45" w:name="_Toc19006"/>
      <w:bookmarkStart w:id="46" w:name="_Toc73958784"/>
      <w:bookmarkStart w:id="47" w:name="_Toc73622017"/>
      <w:r>
        <w:t>5.1　制品的理化指标</w:t>
      </w:r>
      <w:bookmarkEnd w:id="45"/>
    </w:p>
    <w:p w14:paraId="3E6A4582">
      <w:pPr>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jc w:val="left"/>
        <w:textAlignment w:val="auto"/>
        <w:outlineLvl w:val="2"/>
        <w:rPr>
          <w:rFonts w:ascii="黑体" w:hAnsi="Times New Roman" w:eastAsia="黑体" w:cs="Times New Roman"/>
          <w:color w:val="000000"/>
          <w:kern w:val="0"/>
          <w:szCs w:val="21"/>
        </w:rPr>
      </w:pPr>
      <w:bookmarkStart w:id="48" w:name="_Toc26346"/>
      <w:bookmarkStart w:id="49" w:name="_Toc536"/>
      <w:r>
        <w:rPr>
          <w:rFonts w:hint="eastAsia" w:ascii="黑体" w:hAnsi="黑体" w:eastAsia="黑体" w:cs="黑体"/>
          <w:spacing w:val="8"/>
          <w:kern w:val="0"/>
          <w:szCs w:val="21"/>
        </w:rPr>
        <w:t>5.1.1</w:t>
      </w:r>
      <w:r>
        <w:rPr>
          <w:rFonts w:hint="eastAsia" w:ascii="黑体" w:hAnsi="Times New Roman" w:eastAsia="黑体" w:cs="Times New Roman"/>
          <w:color w:val="000000"/>
          <w:kern w:val="0"/>
          <w:szCs w:val="21"/>
        </w:rPr>
        <w:t xml:space="preserve"> </w:t>
      </w:r>
      <w:r>
        <w:rPr>
          <w:rFonts w:hint="eastAsia" w:ascii="宋体" w:hAnsi="宋体" w:eastAsia="宋体" w:cs="宋体"/>
          <w:color w:val="000000"/>
          <w:kern w:val="0"/>
          <w:szCs w:val="21"/>
        </w:rPr>
        <w:t>制品的理化指标应符合表3的规定</w:t>
      </w:r>
      <w:r>
        <w:rPr>
          <w:rFonts w:hint="eastAsia" w:ascii="黑体" w:hAnsi="Times New Roman" w:eastAsia="黑体" w:cs="Times New Roman"/>
          <w:color w:val="000000"/>
          <w:kern w:val="0"/>
          <w:szCs w:val="21"/>
        </w:rPr>
        <w:t>。</w:t>
      </w:r>
      <w:bookmarkEnd w:id="48"/>
      <w:bookmarkEnd w:id="49"/>
    </w:p>
    <w:p w14:paraId="70B5A819">
      <w:pPr>
        <w:widowControl/>
        <w:spacing w:before="156" w:beforeLines="50" w:after="156" w:afterLines="50"/>
        <w:jc w:val="center"/>
        <w:outlineLvl w:val="2"/>
        <w:rPr>
          <w:rFonts w:ascii="黑体" w:hAnsi="黑体" w:eastAsia="黑体" w:cs="Times New Roman"/>
        </w:rPr>
      </w:pPr>
      <w:bookmarkStart w:id="50" w:name="_Toc25211"/>
      <w:bookmarkStart w:id="51" w:name="_Toc11599"/>
    </w:p>
    <w:p w14:paraId="0DF971FC">
      <w:pPr>
        <w:widowControl/>
        <w:spacing w:before="156" w:beforeLines="50" w:after="156" w:afterLines="50"/>
        <w:jc w:val="center"/>
        <w:outlineLvl w:val="2"/>
        <w:rPr>
          <w:rFonts w:hint="eastAsia" w:ascii="黑体" w:hAnsi="黑体" w:eastAsia="黑体" w:cs="Times New Roman"/>
        </w:rPr>
      </w:pPr>
      <w:r>
        <w:rPr>
          <w:rFonts w:ascii="黑体" w:hAnsi="黑体" w:eastAsia="黑体" w:cs="Times New Roman"/>
        </w:rPr>
        <w:t>表</w:t>
      </w:r>
      <w:r>
        <w:rPr>
          <w:rFonts w:hint="eastAsia" w:ascii="黑体" w:hAnsi="黑体" w:eastAsia="黑体" w:cs="黑体"/>
        </w:rPr>
        <w:t>3</w:t>
      </w:r>
      <w:r>
        <w:rPr>
          <w:rFonts w:ascii="黑体" w:hAnsi="黑体" w:eastAsia="黑体" w:cs="Times New Roman"/>
        </w:rPr>
        <w:t xml:space="preserve">  </w:t>
      </w:r>
      <w:r>
        <w:rPr>
          <w:rFonts w:hint="eastAsia" w:ascii="黑体" w:hAnsi="黑体" w:eastAsia="黑体" w:cs="Times New Roman"/>
        </w:rPr>
        <w:t>制品的理化指标</w:t>
      </w:r>
      <w:bookmarkEnd w:id="50"/>
      <w:bookmarkEnd w:id="51"/>
    </w:p>
    <w:tbl>
      <w:tblPr>
        <w:tblStyle w:val="12"/>
        <w:tblW w:w="9460"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2433"/>
        <w:gridCol w:w="1832"/>
        <w:gridCol w:w="1722"/>
        <w:gridCol w:w="1723"/>
      </w:tblGrid>
      <w:tr w14:paraId="6C325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015" w:type="dxa"/>
            <w:gridSpan w:val="3"/>
            <w:vMerge w:val="restart"/>
            <w:tcBorders>
              <w:top w:val="single" w:color="auto" w:sz="8" w:space="0"/>
              <w:left w:val="single" w:color="auto" w:sz="8" w:space="0"/>
              <w:bottom w:val="single" w:color="auto" w:sz="4" w:space="0"/>
              <w:right w:val="single" w:color="auto" w:sz="4" w:space="0"/>
            </w:tcBorders>
            <w:vAlign w:val="center"/>
          </w:tcPr>
          <w:p w14:paraId="35967749">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rPr>
            </w:pPr>
            <w:bookmarkStart w:id="52" w:name="_Toc16567"/>
            <w:bookmarkStart w:id="53" w:name="_Toc20195"/>
            <w:r>
              <w:rPr>
                <w:rFonts w:hint="default" w:ascii="宋体" w:hAnsi="宋体" w:eastAsia="宋体" w:cs="Times New Roman"/>
                <w:sz w:val="18"/>
                <w:szCs w:val="18"/>
              </w:rPr>
              <w:t>项目</w:t>
            </w:r>
            <w:bookmarkEnd w:id="52"/>
            <w:bookmarkEnd w:id="53"/>
          </w:p>
        </w:tc>
        <w:tc>
          <w:tcPr>
            <w:tcW w:w="3445" w:type="dxa"/>
            <w:gridSpan w:val="2"/>
            <w:tcBorders>
              <w:top w:val="single" w:color="auto" w:sz="8" w:space="0"/>
              <w:left w:val="single" w:color="auto" w:sz="4" w:space="0"/>
              <w:bottom w:val="single" w:color="auto" w:sz="4" w:space="0"/>
              <w:right w:val="single" w:color="auto" w:sz="8" w:space="0"/>
            </w:tcBorders>
            <w:vAlign w:val="center"/>
          </w:tcPr>
          <w:p w14:paraId="686B01D6">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rPr>
            </w:pPr>
            <w:bookmarkStart w:id="54" w:name="_Toc24690"/>
            <w:bookmarkStart w:id="55" w:name="_Toc8743"/>
            <w:r>
              <w:rPr>
                <w:rFonts w:hint="default" w:ascii="宋体" w:hAnsi="宋体" w:eastAsia="宋体" w:cs="Times New Roman"/>
                <w:sz w:val="18"/>
                <w:szCs w:val="18"/>
              </w:rPr>
              <w:t>指标</w:t>
            </w:r>
            <w:bookmarkEnd w:id="54"/>
            <w:bookmarkEnd w:id="55"/>
          </w:p>
        </w:tc>
      </w:tr>
      <w:tr w14:paraId="32AE0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015" w:type="dxa"/>
            <w:gridSpan w:val="3"/>
            <w:vMerge w:val="continue"/>
            <w:tcBorders>
              <w:top w:val="single" w:color="auto" w:sz="4" w:space="0"/>
              <w:left w:val="single" w:color="auto" w:sz="8" w:space="0"/>
              <w:bottom w:val="single" w:color="auto" w:sz="8" w:space="0"/>
              <w:right w:val="single" w:color="auto" w:sz="4" w:space="0"/>
            </w:tcBorders>
            <w:vAlign w:val="center"/>
          </w:tcPr>
          <w:p w14:paraId="61873D3F">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rPr>
            </w:pPr>
          </w:p>
        </w:tc>
        <w:tc>
          <w:tcPr>
            <w:tcW w:w="1722" w:type="dxa"/>
            <w:tcBorders>
              <w:top w:val="single" w:color="auto" w:sz="4" w:space="0"/>
              <w:left w:val="single" w:color="auto" w:sz="4" w:space="0"/>
              <w:bottom w:val="single" w:color="auto" w:sz="8" w:space="0"/>
              <w:right w:val="single" w:color="auto" w:sz="4" w:space="0"/>
            </w:tcBorders>
            <w:vAlign w:val="center"/>
          </w:tcPr>
          <w:p w14:paraId="1C457D05">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rPr>
            </w:pPr>
            <w:bookmarkStart w:id="56" w:name="_Toc31902"/>
            <w:bookmarkStart w:id="57" w:name="_Toc26901"/>
            <w:r>
              <w:rPr>
                <w:rFonts w:hint="default" w:ascii="Times New Roman" w:hAnsi="Times New Roman" w:eastAsia="宋体" w:cs="Times New Roman"/>
                <w:sz w:val="18"/>
                <w:szCs w:val="18"/>
              </w:rPr>
              <w:t>RA-M</w:t>
            </w:r>
            <w:bookmarkEnd w:id="56"/>
            <w:bookmarkEnd w:id="57"/>
          </w:p>
        </w:tc>
        <w:tc>
          <w:tcPr>
            <w:tcW w:w="1723" w:type="dxa"/>
            <w:tcBorders>
              <w:top w:val="single" w:color="auto" w:sz="4" w:space="0"/>
              <w:left w:val="single" w:color="auto" w:sz="4" w:space="0"/>
              <w:bottom w:val="single" w:color="auto" w:sz="8" w:space="0"/>
              <w:right w:val="single" w:color="auto" w:sz="8" w:space="0"/>
            </w:tcBorders>
            <w:vAlign w:val="center"/>
          </w:tcPr>
          <w:p w14:paraId="30D9E835">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rPr>
            </w:pPr>
            <w:bookmarkStart w:id="58" w:name="_Toc22356"/>
            <w:bookmarkStart w:id="59" w:name="_Toc30378"/>
            <w:r>
              <w:rPr>
                <w:rFonts w:hint="default" w:ascii="Times New Roman" w:hAnsi="Times New Roman" w:eastAsia="宋体" w:cs="Times New Roman"/>
                <w:sz w:val="18"/>
                <w:szCs w:val="18"/>
              </w:rPr>
              <w:t>RA-H</w:t>
            </w:r>
            <w:bookmarkEnd w:id="58"/>
            <w:bookmarkEnd w:id="59"/>
          </w:p>
        </w:tc>
      </w:tr>
      <w:tr w14:paraId="1CF0D4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restart"/>
            <w:tcBorders>
              <w:top w:val="single" w:color="auto" w:sz="8" w:space="0"/>
              <w:left w:val="single" w:color="auto" w:sz="8" w:space="0"/>
              <w:bottom w:val="single" w:color="auto" w:sz="4" w:space="0"/>
              <w:right w:val="single" w:color="auto" w:sz="4" w:space="0"/>
            </w:tcBorders>
            <w:vAlign w:val="center"/>
          </w:tcPr>
          <w:p w14:paraId="5936A760">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60" w:name="_Toc5520"/>
            <w:bookmarkStart w:id="61" w:name="_Toc31012"/>
            <w:r>
              <w:rPr>
                <w:rFonts w:hint="eastAsia" w:ascii="宋体" w:hAnsi="宋体" w:eastAsia="宋体" w:cs="Times New Roman"/>
                <w:sz w:val="18"/>
                <w:szCs w:val="18"/>
                <w:highlight w:val="none"/>
              </w:rPr>
              <w:t>化学成分</w:t>
            </w:r>
            <w:bookmarkEnd w:id="60"/>
            <w:bookmarkEnd w:id="61"/>
          </w:p>
        </w:tc>
        <w:tc>
          <w:tcPr>
            <w:tcW w:w="4265" w:type="dxa"/>
            <w:gridSpan w:val="2"/>
            <w:tcBorders>
              <w:top w:val="single" w:color="auto" w:sz="8" w:space="0"/>
              <w:left w:val="single" w:color="auto" w:sz="4" w:space="0"/>
              <w:bottom w:val="single" w:color="auto" w:sz="4" w:space="0"/>
              <w:right w:val="single" w:color="auto" w:sz="4" w:space="0"/>
            </w:tcBorders>
            <w:vAlign w:val="center"/>
          </w:tcPr>
          <w:p w14:paraId="20BFF14F">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rPr>
            </w:pPr>
            <w:bookmarkStart w:id="62" w:name="_Toc2484"/>
            <w:bookmarkStart w:id="63" w:name="_Toc19191"/>
            <w:r>
              <w:rPr>
                <w:rFonts w:hint="default" w:ascii="Times New Roman" w:hAnsi="Times New Roman" w:eastAsia="宋体" w:cs="Times New Roman"/>
                <w:sz w:val="18"/>
                <w:szCs w:val="18"/>
                <w:highlight w:val="none"/>
              </w:rPr>
              <w:t>Al</w:t>
            </w:r>
            <w:r>
              <w:rPr>
                <w:rFonts w:hint="default" w:ascii="Times New Roman" w:hAnsi="Times New Roman" w:eastAsia="宋体" w:cs="Times New Roman"/>
                <w:sz w:val="18"/>
                <w:szCs w:val="18"/>
                <w:highlight w:val="none"/>
                <w:vertAlign w:val="subscript"/>
              </w:rPr>
              <w:t>2</w:t>
            </w:r>
            <w:r>
              <w:rPr>
                <w:rFonts w:hint="default" w:ascii="Times New Roman" w:hAnsi="Times New Roman" w:eastAsia="宋体" w:cs="Times New Roman"/>
                <w:sz w:val="18"/>
                <w:szCs w:val="18"/>
                <w:highlight w:val="none"/>
              </w:rPr>
              <w:t>O</w:t>
            </w:r>
            <w:r>
              <w:rPr>
                <w:rFonts w:hint="default" w:ascii="Times New Roman" w:hAnsi="Times New Roman" w:eastAsia="宋体" w:cs="Times New Roman"/>
                <w:sz w:val="18"/>
                <w:szCs w:val="18"/>
                <w:highlight w:val="none"/>
                <w:vertAlign w:val="subscript"/>
              </w:rPr>
              <w:t>3</w:t>
            </w:r>
            <w:bookmarkEnd w:id="62"/>
            <w:bookmarkEnd w:id="63"/>
          </w:p>
        </w:tc>
        <w:tc>
          <w:tcPr>
            <w:tcW w:w="1722" w:type="dxa"/>
            <w:tcBorders>
              <w:top w:val="single" w:color="auto" w:sz="8" w:space="0"/>
              <w:left w:val="single" w:color="auto" w:sz="4" w:space="0"/>
              <w:bottom w:val="single" w:color="auto" w:sz="4" w:space="0"/>
              <w:right w:val="single" w:color="auto" w:sz="4" w:space="0"/>
            </w:tcBorders>
            <w:vAlign w:val="center"/>
          </w:tcPr>
          <w:p w14:paraId="7E991898">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64" w:name="_Toc30953"/>
            <w:bookmarkStart w:id="65" w:name="_Toc4849"/>
            <w:r>
              <w:rPr>
                <w:rFonts w:hint="eastAsia" w:ascii="宋体" w:hAnsi="宋体" w:eastAsia="宋体" w:cs="Times New Roman"/>
                <w:sz w:val="18"/>
                <w:szCs w:val="18"/>
                <w:highlight w:val="none"/>
              </w:rPr>
              <w:t>93</w:t>
            </w:r>
            <w:r>
              <w:rPr>
                <w:rFonts w:hint="eastAsia" w:ascii="Times New Roman" w:hAnsi="Times New Roman" w:eastAsia="宋体" w:cs="Times New Roman"/>
                <w:sz w:val="18"/>
                <w:szCs w:val="18"/>
                <w:highlight w:val="none"/>
              </w:rPr>
              <w:t>%</w:t>
            </w:r>
            <w:r>
              <w:rPr>
                <w:rFonts w:hint="eastAsia" w:ascii="宋体" w:hAnsi="宋体" w:eastAsia="宋体" w:cs="宋体"/>
                <w:sz w:val="18"/>
                <w:szCs w:val="18"/>
                <w:highlight w:val="none"/>
              </w:rPr>
              <w:t>～96</w:t>
            </w:r>
            <w:r>
              <w:rPr>
                <w:rFonts w:hint="eastAsia" w:ascii="Times New Roman" w:hAnsi="Times New Roman" w:eastAsia="宋体" w:cs="Times New Roman"/>
                <w:sz w:val="18"/>
                <w:szCs w:val="18"/>
                <w:highlight w:val="none"/>
              </w:rPr>
              <w:t>%</w:t>
            </w:r>
            <w:bookmarkEnd w:id="64"/>
            <w:bookmarkEnd w:id="65"/>
          </w:p>
        </w:tc>
        <w:tc>
          <w:tcPr>
            <w:tcW w:w="1723" w:type="dxa"/>
            <w:tcBorders>
              <w:top w:val="single" w:color="auto" w:sz="8" w:space="0"/>
              <w:left w:val="single" w:color="auto" w:sz="4" w:space="0"/>
              <w:bottom w:val="single" w:color="auto" w:sz="4" w:space="0"/>
              <w:right w:val="single" w:color="auto" w:sz="8" w:space="0"/>
            </w:tcBorders>
            <w:vAlign w:val="center"/>
          </w:tcPr>
          <w:p w14:paraId="52518890">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66" w:name="_Toc12200"/>
            <w:bookmarkStart w:id="67" w:name="_Toc14150"/>
            <w:r>
              <w:rPr>
                <w:rFonts w:hint="eastAsia" w:ascii="宋体" w:hAnsi="宋体" w:eastAsia="宋体" w:cs="Times New Roman"/>
                <w:sz w:val="18"/>
                <w:szCs w:val="18"/>
                <w:highlight w:val="none"/>
              </w:rPr>
              <w:t>91</w:t>
            </w:r>
            <w:r>
              <w:rPr>
                <w:rFonts w:hint="eastAsia" w:ascii="Times New Roman" w:hAnsi="Times New Roman" w:eastAsia="宋体" w:cs="Times New Roman"/>
                <w:sz w:val="18"/>
                <w:szCs w:val="18"/>
                <w:highlight w:val="none"/>
              </w:rPr>
              <w:t>%</w:t>
            </w:r>
            <w:r>
              <w:rPr>
                <w:rFonts w:hint="eastAsia" w:ascii="宋体" w:hAnsi="宋体" w:eastAsia="宋体" w:cs="宋体"/>
                <w:sz w:val="18"/>
                <w:szCs w:val="18"/>
                <w:highlight w:val="none"/>
              </w:rPr>
              <w:t>～9</w:t>
            </w:r>
            <w:r>
              <w:rPr>
                <w:rFonts w:hint="eastAsia" w:ascii="宋体" w:hAnsi="宋体" w:eastAsia="宋体" w:cs="宋体"/>
                <w:sz w:val="18"/>
                <w:szCs w:val="18"/>
                <w:highlight w:val="none"/>
                <w:lang w:val="en-US" w:eastAsia="zh-CN"/>
              </w:rPr>
              <w:t>4</w:t>
            </w:r>
            <w:r>
              <w:rPr>
                <w:rFonts w:hint="eastAsia" w:ascii="Times New Roman" w:hAnsi="Times New Roman" w:eastAsia="宋体" w:cs="Times New Roman"/>
                <w:sz w:val="18"/>
                <w:szCs w:val="18"/>
                <w:highlight w:val="none"/>
              </w:rPr>
              <w:t>%</w:t>
            </w:r>
            <w:bookmarkEnd w:id="66"/>
            <w:bookmarkEnd w:id="67"/>
          </w:p>
        </w:tc>
      </w:tr>
      <w:tr w14:paraId="20B60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5E09AB33">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33F9BB57">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rPr>
            </w:pPr>
            <w:bookmarkStart w:id="68" w:name="_Toc13294"/>
            <w:bookmarkStart w:id="69" w:name="_Toc19527"/>
            <w:r>
              <w:rPr>
                <w:rFonts w:hint="default" w:ascii="Times New Roman" w:hAnsi="Times New Roman" w:eastAsia="宋体" w:cs="Times New Roman"/>
                <w:sz w:val="18"/>
                <w:szCs w:val="18"/>
                <w:highlight w:val="none"/>
              </w:rPr>
              <w:t>Na</w:t>
            </w:r>
            <w:r>
              <w:rPr>
                <w:rFonts w:hint="default" w:ascii="Times New Roman" w:hAnsi="Times New Roman" w:eastAsia="宋体" w:cs="Times New Roman"/>
                <w:sz w:val="18"/>
                <w:szCs w:val="18"/>
                <w:highlight w:val="none"/>
                <w:vertAlign w:val="subscript"/>
              </w:rPr>
              <w:t>2</w:t>
            </w:r>
            <w:r>
              <w:rPr>
                <w:rFonts w:hint="default" w:ascii="Times New Roman" w:hAnsi="Times New Roman" w:eastAsia="宋体" w:cs="Times New Roman"/>
                <w:sz w:val="18"/>
                <w:szCs w:val="18"/>
                <w:highlight w:val="none"/>
              </w:rPr>
              <w:t>O</w:t>
            </w:r>
            <w:bookmarkEnd w:id="68"/>
            <w:bookmarkEnd w:id="69"/>
          </w:p>
        </w:tc>
        <w:tc>
          <w:tcPr>
            <w:tcW w:w="1722" w:type="dxa"/>
            <w:tcBorders>
              <w:top w:val="single" w:color="auto" w:sz="4" w:space="0"/>
              <w:left w:val="single" w:color="auto" w:sz="4" w:space="0"/>
              <w:bottom w:val="single" w:color="auto" w:sz="4" w:space="0"/>
              <w:right w:val="single" w:color="auto" w:sz="4" w:space="0"/>
            </w:tcBorders>
            <w:vAlign w:val="center"/>
          </w:tcPr>
          <w:p w14:paraId="0E94BD18">
            <w:pPr>
              <w:keepNext w:val="0"/>
              <w:keepLines w:val="0"/>
              <w:widowControl/>
              <w:suppressLineNumbers w:val="0"/>
              <w:spacing w:before="0" w:beforeAutospacing="0" w:after="0" w:afterAutospacing="0"/>
              <w:ind w:left="0" w:right="0"/>
              <w:jc w:val="center"/>
              <w:outlineLvl w:val="2"/>
              <w:rPr>
                <w:rFonts w:hint="default" w:ascii="宋体" w:hAnsi="宋体" w:eastAsia="宋体" w:cs="Times New Roman"/>
                <w:sz w:val="18"/>
                <w:szCs w:val="18"/>
                <w:highlight w:val="none"/>
                <w:lang w:val="en-US" w:eastAsia="zh-CN"/>
              </w:rPr>
            </w:pPr>
            <w:bookmarkStart w:id="70" w:name="_Toc19666"/>
            <w:r>
              <w:rPr>
                <w:rFonts w:hint="eastAsia" w:ascii="宋体" w:hAnsi="宋体" w:eastAsia="宋体" w:cs="Times New Roman"/>
                <w:color w:val="auto"/>
                <w:sz w:val="18"/>
                <w:szCs w:val="18"/>
                <w:highlight w:val="none"/>
                <w:lang w:val="en-US" w:eastAsia="zh-CN"/>
              </w:rPr>
              <w:t>3.0</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color w:val="auto"/>
                <w:sz w:val="18"/>
                <w:szCs w:val="18"/>
                <w:highlight w:val="none"/>
              </w:rPr>
              <w:t>～</w:t>
            </w:r>
            <w:r>
              <w:rPr>
                <w:rFonts w:hint="eastAsia" w:ascii="宋体" w:hAnsi="宋体" w:eastAsia="宋体" w:cs="Times New Roman"/>
                <w:color w:val="auto"/>
                <w:sz w:val="18"/>
                <w:szCs w:val="18"/>
                <w:highlight w:val="none"/>
                <w:lang w:val="en-US" w:eastAsia="zh-CN"/>
              </w:rPr>
              <w:t>4.5</w:t>
            </w:r>
            <w:r>
              <w:rPr>
                <w:rFonts w:hint="default" w:ascii="Times New Roman" w:hAnsi="Times New Roman" w:eastAsia="宋体" w:cs="Times New Roman"/>
                <w:color w:val="auto"/>
                <w:sz w:val="18"/>
                <w:szCs w:val="18"/>
                <w:highlight w:val="none"/>
                <w:lang w:val="en-US" w:eastAsia="zh-CN"/>
              </w:rPr>
              <w:t>%</w:t>
            </w:r>
            <w:bookmarkEnd w:id="70"/>
          </w:p>
        </w:tc>
        <w:tc>
          <w:tcPr>
            <w:tcW w:w="1723" w:type="dxa"/>
            <w:tcBorders>
              <w:top w:val="single" w:color="auto" w:sz="4" w:space="0"/>
              <w:left w:val="single" w:color="auto" w:sz="4" w:space="0"/>
              <w:bottom w:val="single" w:color="auto" w:sz="4" w:space="0"/>
              <w:right w:val="single" w:color="auto" w:sz="8" w:space="0"/>
            </w:tcBorders>
            <w:vAlign w:val="center"/>
          </w:tcPr>
          <w:p w14:paraId="7B26F5F1">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71" w:name="_Toc12849"/>
            <w:r>
              <w:rPr>
                <w:rFonts w:hint="eastAsia" w:ascii="宋体" w:hAnsi="宋体" w:eastAsia="宋体" w:cs="Times New Roman"/>
                <w:color w:val="auto"/>
                <w:sz w:val="18"/>
                <w:szCs w:val="18"/>
                <w:highlight w:val="none"/>
                <w:lang w:val="en-US" w:eastAsia="zh-CN"/>
              </w:rPr>
              <w:t>5.0</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color w:val="auto"/>
                <w:sz w:val="18"/>
                <w:szCs w:val="18"/>
                <w:highlight w:val="none"/>
              </w:rPr>
              <w:t>～</w:t>
            </w:r>
            <w:r>
              <w:rPr>
                <w:rFonts w:hint="eastAsia" w:ascii="宋体" w:hAnsi="宋体" w:eastAsia="宋体" w:cs="Times New Roman"/>
                <w:color w:val="auto"/>
                <w:sz w:val="18"/>
                <w:szCs w:val="18"/>
                <w:highlight w:val="none"/>
                <w:lang w:val="en-US" w:eastAsia="zh-CN"/>
              </w:rPr>
              <w:t>7.2</w:t>
            </w:r>
            <w:r>
              <w:rPr>
                <w:rFonts w:hint="default" w:ascii="Times New Roman" w:hAnsi="Times New Roman" w:eastAsia="宋体" w:cs="Times New Roman"/>
                <w:color w:val="auto"/>
                <w:sz w:val="18"/>
                <w:szCs w:val="18"/>
                <w:highlight w:val="none"/>
                <w:lang w:val="en-US" w:eastAsia="zh-CN"/>
              </w:rPr>
              <w:t>%</w:t>
            </w:r>
            <w:bookmarkEnd w:id="71"/>
          </w:p>
        </w:tc>
      </w:tr>
      <w:tr w14:paraId="63A31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037F1E0B">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3EB0379B">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rPr>
            </w:pPr>
            <w:bookmarkStart w:id="72" w:name="_Toc15863"/>
            <w:bookmarkStart w:id="73" w:name="_Toc20063"/>
            <w:r>
              <w:rPr>
                <w:rFonts w:hint="default" w:ascii="Times New Roman" w:hAnsi="Times New Roman" w:eastAsia="宋体" w:cs="Times New Roman"/>
                <w:sz w:val="18"/>
                <w:szCs w:val="18"/>
                <w:highlight w:val="none"/>
              </w:rPr>
              <w:t>SiO</w:t>
            </w:r>
            <w:r>
              <w:rPr>
                <w:rFonts w:hint="default" w:ascii="Times New Roman" w:hAnsi="Times New Roman" w:eastAsia="宋体" w:cs="Times New Roman"/>
                <w:sz w:val="18"/>
                <w:szCs w:val="18"/>
                <w:highlight w:val="none"/>
                <w:vertAlign w:val="subscript"/>
              </w:rPr>
              <w:t>2</w:t>
            </w:r>
            <w:r>
              <w:rPr>
                <w:rFonts w:hint="eastAsia" w:ascii="宋体" w:hAnsi="宋体" w:eastAsia="宋体" w:cs="宋体"/>
                <w:sz w:val="18"/>
                <w:szCs w:val="18"/>
                <w:highlight w:val="none"/>
              </w:rPr>
              <w:t>+</w:t>
            </w:r>
            <w:r>
              <w:rPr>
                <w:rFonts w:hint="default" w:ascii="Times New Roman" w:hAnsi="Times New Roman" w:eastAsia="宋体" w:cs="Times New Roman"/>
                <w:sz w:val="18"/>
                <w:szCs w:val="18"/>
                <w:highlight w:val="none"/>
              </w:rPr>
              <w:t>Fe</w:t>
            </w:r>
            <w:r>
              <w:rPr>
                <w:rFonts w:hint="default" w:ascii="Times New Roman" w:hAnsi="Times New Roman" w:eastAsia="宋体" w:cs="Times New Roman"/>
                <w:sz w:val="18"/>
                <w:szCs w:val="18"/>
                <w:highlight w:val="none"/>
                <w:vertAlign w:val="subscript"/>
              </w:rPr>
              <w:t>2</w:t>
            </w:r>
            <w:r>
              <w:rPr>
                <w:rFonts w:hint="default" w:ascii="Times New Roman" w:hAnsi="Times New Roman" w:eastAsia="宋体" w:cs="Times New Roman"/>
                <w:sz w:val="18"/>
                <w:szCs w:val="18"/>
                <w:highlight w:val="none"/>
              </w:rPr>
              <w:t>O</w:t>
            </w:r>
            <w:r>
              <w:rPr>
                <w:rFonts w:hint="default" w:ascii="Times New Roman" w:hAnsi="Times New Roman" w:eastAsia="宋体" w:cs="Times New Roman"/>
                <w:sz w:val="18"/>
                <w:szCs w:val="18"/>
                <w:highlight w:val="none"/>
                <w:vertAlign w:val="subscript"/>
              </w:rPr>
              <w:t>3</w:t>
            </w:r>
            <w:r>
              <w:rPr>
                <w:rFonts w:hint="eastAsia" w:ascii="宋体" w:hAnsi="宋体" w:eastAsia="宋体" w:cs="宋体"/>
                <w:sz w:val="18"/>
                <w:szCs w:val="18"/>
                <w:highlight w:val="none"/>
              </w:rPr>
              <w:t>+</w:t>
            </w:r>
            <w:r>
              <w:rPr>
                <w:rFonts w:hint="default" w:ascii="Times New Roman" w:hAnsi="Times New Roman" w:eastAsia="宋体" w:cs="Times New Roman"/>
                <w:sz w:val="18"/>
                <w:szCs w:val="18"/>
                <w:highlight w:val="none"/>
              </w:rPr>
              <w:t>TiO</w:t>
            </w:r>
            <w:r>
              <w:rPr>
                <w:rFonts w:hint="default" w:ascii="Times New Roman" w:hAnsi="Times New Roman" w:eastAsia="宋体" w:cs="Times New Roman"/>
                <w:sz w:val="18"/>
                <w:szCs w:val="18"/>
                <w:highlight w:val="none"/>
                <w:vertAlign w:val="subscript"/>
              </w:rPr>
              <w:t>2</w:t>
            </w:r>
            <w:r>
              <w:rPr>
                <w:rFonts w:hint="eastAsia" w:ascii="宋体" w:hAnsi="宋体" w:eastAsia="宋体" w:cs="宋体"/>
                <w:sz w:val="18"/>
                <w:szCs w:val="18"/>
                <w:highlight w:val="none"/>
              </w:rPr>
              <w:t>+</w:t>
            </w:r>
            <w:r>
              <w:rPr>
                <w:rFonts w:hint="default" w:ascii="Times New Roman" w:hAnsi="Times New Roman" w:eastAsia="宋体" w:cs="Times New Roman"/>
                <w:sz w:val="18"/>
                <w:szCs w:val="18"/>
                <w:highlight w:val="none"/>
              </w:rPr>
              <w:t>CaO</w:t>
            </w:r>
            <w:r>
              <w:rPr>
                <w:rFonts w:hint="eastAsia" w:ascii="宋体" w:hAnsi="宋体" w:eastAsia="宋体" w:cs="宋体"/>
                <w:sz w:val="18"/>
                <w:szCs w:val="18"/>
                <w:highlight w:val="none"/>
              </w:rPr>
              <w:t>+</w:t>
            </w:r>
            <w:r>
              <w:rPr>
                <w:rFonts w:hint="eastAsia" w:ascii="Times New Roman" w:hAnsi="Times New Roman" w:eastAsia="宋体" w:cs="Times New Roman"/>
                <w:sz w:val="18"/>
                <w:szCs w:val="18"/>
                <w:highlight w:val="none"/>
                <w:lang w:val="en-US" w:eastAsia="zh-CN"/>
              </w:rPr>
              <w:t>K</w:t>
            </w:r>
            <w:r>
              <w:rPr>
                <w:rFonts w:hint="eastAsia" w:ascii="Times New Roman" w:hAnsi="Times New Roman" w:eastAsia="宋体" w:cs="Times New Roman"/>
                <w:sz w:val="18"/>
                <w:szCs w:val="18"/>
                <w:highlight w:val="none"/>
                <w:vertAlign w:val="subscript"/>
                <w:lang w:val="en-US" w:eastAsia="zh-CN"/>
              </w:rPr>
              <w:t>2</w:t>
            </w:r>
            <w:r>
              <w:rPr>
                <w:rFonts w:hint="eastAsia" w:ascii="Times New Roman" w:hAnsi="Times New Roman" w:eastAsia="宋体" w:cs="Times New Roman"/>
                <w:sz w:val="18"/>
                <w:szCs w:val="18"/>
                <w:highlight w:val="none"/>
                <w:lang w:val="en-US" w:eastAsia="zh-CN"/>
              </w:rPr>
              <w:t>O</w:t>
            </w:r>
            <w:r>
              <w:rPr>
                <w:rFonts w:hint="eastAsia" w:ascii="宋体" w:hAnsi="宋体" w:eastAsia="宋体" w:cs="宋体"/>
                <w:sz w:val="18"/>
                <w:szCs w:val="18"/>
                <w:highlight w:val="none"/>
                <w:lang w:val="en-US" w:eastAsia="zh-CN"/>
              </w:rPr>
              <w:t>+</w:t>
            </w:r>
            <w:r>
              <w:rPr>
                <w:rFonts w:hint="default" w:ascii="Times New Roman" w:hAnsi="Times New Roman" w:eastAsia="宋体" w:cs="Times New Roman"/>
                <w:sz w:val="18"/>
                <w:szCs w:val="18"/>
                <w:highlight w:val="none"/>
              </w:rPr>
              <w:t>其他</w:t>
            </w:r>
            <w:bookmarkEnd w:id="72"/>
            <w:bookmarkEnd w:id="73"/>
          </w:p>
        </w:tc>
        <w:tc>
          <w:tcPr>
            <w:tcW w:w="3445" w:type="dxa"/>
            <w:gridSpan w:val="2"/>
            <w:tcBorders>
              <w:top w:val="single" w:color="auto" w:sz="4" w:space="0"/>
              <w:left w:val="single" w:color="auto" w:sz="4" w:space="0"/>
              <w:bottom w:val="single" w:color="auto" w:sz="4" w:space="0"/>
              <w:right w:val="single" w:color="auto" w:sz="8" w:space="0"/>
            </w:tcBorders>
            <w:vAlign w:val="center"/>
          </w:tcPr>
          <w:p w14:paraId="2A78495C">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lang w:val="en-US" w:eastAsia="zh-CN"/>
              </w:rPr>
              <w:t>余量</w:t>
            </w:r>
          </w:p>
        </w:tc>
      </w:tr>
      <w:tr w14:paraId="4A679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restart"/>
            <w:tcBorders>
              <w:top w:val="single" w:color="auto" w:sz="4" w:space="0"/>
              <w:left w:val="single" w:color="auto" w:sz="8" w:space="0"/>
              <w:bottom w:val="single" w:color="auto" w:sz="4" w:space="0"/>
              <w:right w:val="single" w:color="auto" w:sz="4" w:space="0"/>
            </w:tcBorders>
            <w:vAlign w:val="center"/>
          </w:tcPr>
          <w:p w14:paraId="036979BE">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74" w:name="_Toc16098"/>
            <w:bookmarkStart w:id="75" w:name="_Toc21234"/>
            <w:r>
              <w:rPr>
                <w:rFonts w:hint="eastAsia" w:ascii="宋体" w:hAnsi="宋体" w:eastAsia="宋体" w:cs="Times New Roman"/>
                <w:sz w:val="18"/>
                <w:szCs w:val="18"/>
                <w:highlight w:val="none"/>
              </w:rPr>
              <w:t>物理性能</w:t>
            </w:r>
            <w:bookmarkEnd w:id="74"/>
            <w:bookmarkEnd w:id="75"/>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007022DA">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76" w:name="_Toc12988"/>
            <w:bookmarkStart w:id="77" w:name="_Toc31476"/>
            <w:r>
              <w:rPr>
                <w:rFonts w:hint="eastAsia" w:ascii="宋体" w:hAnsi="宋体" w:eastAsia="宋体" w:cs="Times New Roman"/>
                <w:sz w:val="18"/>
                <w:szCs w:val="18"/>
                <w:highlight w:val="none"/>
                <w:lang w:val="en-US" w:eastAsia="zh-CN"/>
              </w:rPr>
              <w:t>致密部分</w:t>
            </w:r>
            <w:r>
              <w:rPr>
                <w:rFonts w:hint="eastAsia" w:ascii="宋体" w:hAnsi="宋体" w:eastAsia="宋体" w:cs="Times New Roman"/>
                <w:sz w:val="18"/>
                <w:szCs w:val="18"/>
                <w:highlight w:val="none"/>
              </w:rPr>
              <w:t>体积密度/</w:t>
            </w:r>
            <w:r>
              <w:rPr>
                <w:rFonts w:hint="eastAsia" w:ascii="宋体" w:hAnsi="宋体" w:eastAsia="宋体" w:cs="Times New Roman"/>
                <w:sz w:val="18"/>
                <w:szCs w:val="18"/>
                <w:highlight w:val="none"/>
                <w:lang w:eastAsia="zh-CN"/>
              </w:rPr>
              <w:t>（</w:t>
            </w:r>
            <w:r>
              <w:rPr>
                <w:rFonts w:hint="default" w:ascii="Times New Roman" w:hAnsi="Times New Roman" w:eastAsia="宋体" w:cs="Times New Roman"/>
                <w:sz w:val="18"/>
                <w:szCs w:val="18"/>
                <w:highlight w:val="none"/>
              </w:rPr>
              <w:t>g/cm</w:t>
            </w:r>
            <w:r>
              <w:rPr>
                <w:rFonts w:hint="default" w:ascii="Times New Roman" w:hAnsi="Times New Roman" w:eastAsia="宋体" w:cs="Times New Roman"/>
                <w:sz w:val="18"/>
                <w:szCs w:val="18"/>
                <w:highlight w:val="none"/>
                <w:vertAlign w:val="superscript"/>
              </w:rPr>
              <w:t>3</w:t>
            </w:r>
            <w:r>
              <w:rPr>
                <w:rFonts w:hint="eastAsia" w:ascii="宋体" w:hAnsi="宋体" w:eastAsia="宋体" w:cs="Times New Roman"/>
                <w:sz w:val="18"/>
                <w:szCs w:val="18"/>
                <w:highlight w:val="none"/>
                <w:lang w:eastAsia="zh-CN"/>
              </w:rPr>
              <w:t>）</w:t>
            </w:r>
            <w:bookmarkEnd w:id="76"/>
            <w:bookmarkEnd w:id="77"/>
          </w:p>
        </w:tc>
        <w:tc>
          <w:tcPr>
            <w:tcW w:w="1722" w:type="dxa"/>
            <w:tcBorders>
              <w:top w:val="single" w:color="auto" w:sz="4" w:space="0"/>
              <w:left w:val="single" w:color="auto" w:sz="4" w:space="0"/>
              <w:bottom w:val="single" w:color="auto" w:sz="4" w:space="0"/>
              <w:right w:val="single" w:color="auto" w:sz="4" w:space="0"/>
            </w:tcBorders>
            <w:vAlign w:val="center"/>
          </w:tcPr>
          <w:p w14:paraId="68F5BAD8">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78" w:name="_Toc29822"/>
            <w:bookmarkStart w:id="79" w:name="_Toc601"/>
            <w:r>
              <w:rPr>
                <w:rFonts w:hint="eastAsia" w:ascii="宋体" w:hAnsi="宋体" w:eastAsia="宋体" w:cs="Times New Roman"/>
                <w:sz w:val="18"/>
                <w:szCs w:val="18"/>
                <w:highlight w:val="none"/>
              </w:rPr>
              <w:t>≥3.35</w:t>
            </w:r>
            <w:bookmarkEnd w:id="78"/>
            <w:bookmarkEnd w:id="79"/>
          </w:p>
        </w:tc>
        <w:tc>
          <w:tcPr>
            <w:tcW w:w="1723" w:type="dxa"/>
            <w:tcBorders>
              <w:top w:val="single" w:color="auto" w:sz="4" w:space="0"/>
              <w:left w:val="single" w:color="auto" w:sz="4" w:space="0"/>
              <w:bottom w:val="single" w:color="auto" w:sz="4" w:space="0"/>
              <w:right w:val="single" w:color="auto" w:sz="8" w:space="0"/>
            </w:tcBorders>
            <w:vAlign w:val="center"/>
          </w:tcPr>
          <w:p w14:paraId="360DCC68">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80" w:name="_Toc23005"/>
            <w:bookmarkStart w:id="81" w:name="_Toc4660"/>
            <w:r>
              <w:rPr>
                <w:rFonts w:hint="eastAsia" w:ascii="宋体" w:hAnsi="宋体" w:eastAsia="宋体" w:cs="Times New Roman"/>
                <w:sz w:val="18"/>
                <w:szCs w:val="18"/>
                <w:highlight w:val="none"/>
              </w:rPr>
              <w:t>≥2.85</w:t>
            </w:r>
            <w:bookmarkEnd w:id="80"/>
            <w:bookmarkEnd w:id="81"/>
          </w:p>
        </w:tc>
      </w:tr>
      <w:tr w14:paraId="756C73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0EE86485">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620AF617">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82" w:name="_Toc1644"/>
            <w:bookmarkStart w:id="83" w:name="_Toc16065"/>
            <w:r>
              <w:rPr>
                <w:rFonts w:hint="eastAsia" w:ascii="宋体" w:hAnsi="宋体" w:eastAsia="宋体" w:cs="Times New Roman"/>
                <w:sz w:val="18"/>
                <w:szCs w:val="18"/>
                <w:highlight w:val="none"/>
              </w:rPr>
              <w:t>常温耐压强度/</w:t>
            </w:r>
            <w:r>
              <w:rPr>
                <w:rFonts w:hint="default" w:ascii="Times New Roman" w:hAnsi="Times New Roman" w:eastAsia="宋体" w:cs="Times New Roman"/>
                <w:sz w:val="18"/>
                <w:szCs w:val="18"/>
                <w:highlight w:val="none"/>
              </w:rPr>
              <w:t>MPa</w:t>
            </w:r>
            <w:bookmarkEnd w:id="82"/>
            <w:bookmarkEnd w:id="83"/>
          </w:p>
        </w:tc>
        <w:tc>
          <w:tcPr>
            <w:tcW w:w="1722" w:type="dxa"/>
            <w:tcBorders>
              <w:top w:val="single" w:color="auto" w:sz="4" w:space="0"/>
              <w:left w:val="single" w:color="auto" w:sz="4" w:space="0"/>
              <w:bottom w:val="single" w:color="auto" w:sz="4" w:space="0"/>
              <w:right w:val="single" w:color="auto" w:sz="4" w:space="0"/>
            </w:tcBorders>
            <w:vAlign w:val="center"/>
          </w:tcPr>
          <w:p w14:paraId="598FBF8D">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84" w:name="_Toc24444"/>
            <w:bookmarkStart w:id="85" w:name="_Toc13020"/>
            <w:r>
              <w:rPr>
                <w:rFonts w:hint="eastAsia" w:ascii="宋体" w:hAnsi="宋体" w:eastAsia="宋体" w:cs="Times New Roman"/>
                <w:sz w:val="18"/>
                <w:szCs w:val="18"/>
                <w:highlight w:val="none"/>
              </w:rPr>
              <w:t>≥200</w:t>
            </w:r>
            <w:bookmarkEnd w:id="84"/>
            <w:bookmarkEnd w:id="85"/>
          </w:p>
        </w:tc>
        <w:tc>
          <w:tcPr>
            <w:tcW w:w="1723" w:type="dxa"/>
            <w:tcBorders>
              <w:top w:val="single" w:color="auto" w:sz="4" w:space="0"/>
              <w:left w:val="single" w:color="auto" w:sz="4" w:space="0"/>
              <w:bottom w:val="single" w:color="auto" w:sz="4" w:space="0"/>
              <w:right w:val="single" w:color="auto" w:sz="8" w:space="0"/>
            </w:tcBorders>
            <w:vAlign w:val="center"/>
          </w:tcPr>
          <w:p w14:paraId="7AB463FA">
            <w:pPr>
              <w:keepNext w:val="0"/>
              <w:keepLines w:val="0"/>
              <w:widowControl/>
              <w:suppressLineNumbers w:val="0"/>
              <w:spacing w:before="0" w:beforeAutospacing="0" w:after="0" w:afterAutospacing="0"/>
              <w:ind w:left="0" w:right="0"/>
              <w:jc w:val="center"/>
              <w:outlineLvl w:val="2"/>
              <w:rPr>
                <w:rFonts w:hint="default" w:ascii="宋体" w:hAnsi="宋体" w:eastAsia="宋体" w:cs="Times New Roman"/>
                <w:sz w:val="18"/>
                <w:szCs w:val="18"/>
                <w:highlight w:val="none"/>
                <w:lang w:val="en-US" w:eastAsia="zh-CN"/>
              </w:rPr>
            </w:pPr>
            <w:r>
              <w:rPr>
                <w:rFonts w:hint="eastAsia" w:ascii="宋体" w:hAnsi="宋体" w:eastAsia="宋体" w:cs="Times New Roman"/>
                <w:sz w:val="18"/>
                <w:szCs w:val="18"/>
                <w:highlight w:val="none"/>
              </w:rPr>
              <w:t>≥</w:t>
            </w:r>
            <w:r>
              <w:rPr>
                <w:rFonts w:hint="eastAsia" w:ascii="宋体" w:hAnsi="宋体" w:eastAsia="宋体" w:cs="Times New Roman"/>
                <w:sz w:val="18"/>
                <w:szCs w:val="18"/>
                <w:highlight w:val="none"/>
                <w:lang w:val="en-US" w:eastAsia="zh-CN"/>
              </w:rPr>
              <w:t>30</w:t>
            </w:r>
          </w:p>
        </w:tc>
      </w:tr>
      <w:tr w14:paraId="5781A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5C8EE4DF">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70EF31E0">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86" w:name="_Toc24110"/>
            <w:bookmarkStart w:id="87" w:name="_Toc32666"/>
            <w:r>
              <w:rPr>
                <w:rFonts w:hint="eastAsia" w:ascii="宋体" w:hAnsi="宋体" w:eastAsia="宋体" w:cs="Times New Roman"/>
                <w:sz w:val="18"/>
                <w:szCs w:val="18"/>
                <w:highlight w:val="none"/>
              </w:rPr>
              <w:t>气泡析出率（普通钠钙玻璃，1300</w:t>
            </w:r>
            <w:r>
              <w:rPr>
                <w:rFonts w:hint="default" w:ascii="Times New Roman" w:hAnsi="Times New Roman" w:eastAsia="宋体" w:cs="Times New Roman"/>
                <w:sz w:val="18"/>
                <w:szCs w:val="18"/>
                <w:highlight w:val="none"/>
              </w:rPr>
              <w:t>℃</w:t>
            </w:r>
            <w:r>
              <w:rPr>
                <w:rFonts w:hint="eastAsia" w:ascii="宋体" w:hAnsi="宋体" w:eastAsia="宋体" w:cs="Times New Roman"/>
                <w:sz w:val="18"/>
                <w:szCs w:val="18"/>
                <w:highlight w:val="none"/>
              </w:rPr>
              <w:t>×10</w:t>
            </w:r>
            <w:r>
              <w:rPr>
                <w:rFonts w:hint="default" w:ascii="Times New Roman" w:hAnsi="Times New Roman" w:eastAsia="宋体" w:cs="Times New Roman"/>
                <w:sz w:val="18"/>
                <w:szCs w:val="18"/>
                <w:highlight w:val="none"/>
              </w:rPr>
              <w:t>h</w:t>
            </w:r>
            <w:r>
              <w:rPr>
                <w:rFonts w:hint="eastAsia" w:ascii="宋体" w:hAnsi="宋体" w:eastAsia="宋体" w:cs="Times New Roman"/>
                <w:sz w:val="18"/>
                <w:szCs w:val="18"/>
                <w:highlight w:val="none"/>
              </w:rPr>
              <w:t>）</w:t>
            </w:r>
            <w:bookmarkEnd w:id="86"/>
            <w:bookmarkEnd w:id="87"/>
          </w:p>
        </w:tc>
        <w:tc>
          <w:tcPr>
            <w:tcW w:w="1722" w:type="dxa"/>
            <w:tcBorders>
              <w:top w:val="single" w:color="auto" w:sz="4" w:space="0"/>
              <w:left w:val="single" w:color="auto" w:sz="4" w:space="0"/>
              <w:bottom w:val="single" w:color="auto" w:sz="4" w:space="0"/>
              <w:right w:val="single" w:color="auto" w:sz="4" w:space="0"/>
            </w:tcBorders>
            <w:vAlign w:val="center"/>
          </w:tcPr>
          <w:p w14:paraId="235949AD">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88" w:name="_Toc15738"/>
            <w:bookmarkStart w:id="89" w:name="_Toc14380"/>
            <w:r>
              <w:rPr>
                <w:rFonts w:hint="eastAsia" w:ascii="宋体" w:hAnsi="宋体" w:eastAsia="宋体" w:cs="Times New Roman"/>
                <w:sz w:val="18"/>
                <w:szCs w:val="18"/>
                <w:highlight w:val="none"/>
              </w:rPr>
              <w:t>≤0.3</w:t>
            </w:r>
            <w:r>
              <w:rPr>
                <w:rFonts w:hint="default" w:ascii="Times New Roman" w:hAnsi="Times New Roman" w:eastAsia="宋体" w:cs="Times New Roman"/>
                <w:sz w:val="18"/>
                <w:szCs w:val="18"/>
                <w:highlight w:val="none"/>
              </w:rPr>
              <w:t>%</w:t>
            </w:r>
            <w:bookmarkEnd w:id="88"/>
            <w:bookmarkEnd w:id="89"/>
          </w:p>
        </w:tc>
        <w:tc>
          <w:tcPr>
            <w:tcW w:w="1723" w:type="dxa"/>
            <w:tcBorders>
              <w:top w:val="single" w:color="auto" w:sz="4" w:space="0"/>
              <w:left w:val="single" w:color="auto" w:sz="4" w:space="0"/>
              <w:bottom w:val="single" w:color="auto" w:sz="4" w:space="0"/>
              <w:right w:val="single" w:color="auto" w:sz="8" w:space="0"/>
            </w:tcBorders>
            <w:vAlign w:val="center"/>
          </w:tcPr>
          <w:p w14:paraId="336C2985">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90" w:name="_Toc18172"/>
            <w:bookmarkStart w:id="91" w:name="_Toc25334"/>
            <w:r>
              <w:rPr>
                <w:rFonts w:hint="eastAsia" w:ascii="宋体" w:hAnsi="宋体" w:eastAsia="宋体" w:cs="Times New Roman"/>
                <w:sz w:val="18"/>
                <w:szCs w:val="18"/>
                <w:highlight w:val="none"/>
              </w:rPr>
              <w:t>－</w:t>
            </w:r>
            <w:bookmarkEnd w:id="90"/>
            <w:bookmarkEnd w:id="91"/>
          </w:p>
        </w:tc>
      </w:tr>
      <w:tr w14:paraId="5141A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24A04BEC">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348D5994">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92" w:name="_Toc15537"/>
            <w:bookmarkStart w:id="93" w:name="_Toc2500"/>
            <w:r>
              <w:rPr>
                <w:rFonts w:hint="eastAsia" w:ascii="宋体" w:hAnsi="宋体" w:eastAsia="宋体" w:cs="Times New Roman"/>
                <w:sz w:val="18"/>
                <w:szCs w:val="18"/>
                <w:highlight w:val="none"/>
              </w:rPr>
              <w:t>三相界面处静态下抗玻璃液侵蚀速度/（</w:t>
            </w:r>
            <w:r>
              <w:rPr>
                <w:rFonts w:hint="default" w:ascii="Times New Roman" w:hAnsi="Times New Roman" w:eastAsia="宋体" w:cs="Times New Roman"/>
                <w:sz w:val="18"/>
                <w:szCs w:val="18"/>
                <w:highlight w:val="none"/>
              </w:rPr>
              <w:t>mm</w:t>
            </w:r>
            <w:r>
              <w:rPr>
                <w:rFonts w:hint="eastAsia" w:ascii="宋体" w:hAnsi="宋体" w:eastAsia="宋体" w:cs="Times New Roman"/>
                <w:sz w:val="18"/>
                <w:szCs w:val="18"/>
                <w:highlight w:val="none"/>
              </w:rPr>
              <w:t>/24</w:t>
            </w:r>
            <w:r>
              <w:rPr>
                <w:rFonts w:hint="default" w:ascii="Times New Roman" w:hAnsi="Times New Roman" w:eastAsia="宋体" w:cs="Times New Roman"/>
                <w:sz w:val="18"/>
                <w:szCs w:val="18"/>
                <w:highlight w:val="none"/>
              </w:rPr>
              <w:t>h</w:t>
            </w:r>
            <w:r>
              <w:rPr>
                <w:rFonts w:hint="eastAsia" w:ascii="宋体" w:hAnsi="宋体" w:eastAsia="宋体" w:cs="Times New Roman"/>
                <w:sz w:val="18"/>
                <w:szCs w:val="18"/>
                <w:highlight w:val="none"/>
              </w:rPr>
              <w:t>）</w:t>
            </w:r>
            <w:bookmarkEnd w:id="92"/>
            <w:bookmarkEnd w:id="93"/>
          </w:p>
          <w:p w14:paraId="2DB24920">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94" w:name="_Toc29128"/>
            <w:bookmarkStart w:id="95" w:name="_Toc19348"/>
            <w:r>
              <w:rPr>
                <w:rFonts w:hint="eastAsia" w:ascii="宋体" w:hAnsi="宋体" w:eastAsia="宋体" w:cs="Times New Roman"/>
                <w:sz w:val="18"/>
                <w:szCs w:val="18"/>
                <w:highlight w:val="none"/>
              </w:rPr>
              <w:t>（普通钠钙玻璃，1350</w:t>
            </w:r>
            <w:r>
              <w:rPr>
                <w:rFonts w:hint="default" w:ascii="Times New Roman" w:hAnsi="Times New Roman" w:eastAsia="宋体" w:cs="Times New Roman"/>
                <w:sz w:val="18"/>
                <w:szCs w:val="18"/>
                <w:highlight w:val="none"/>
              </w:rPr>
              <w:t>℃</w:t>
            </w:r>
            <w:r>
              <w:rPr>
                <w:rFonts w:hint="eastAsia" w:ascii="宋体" w:hAnsi="宋体" w:eastAsia="宋体" w:cs="Times New Roman"/>
                <w:sz w:val="18"/>
                <w:szCs w:val="18"/>
                <w:highlight w:val="none"/>
                <w:lang w:val="en-US" w:eastAsia="zh-CN"/>
              </w:rPr>
              <w:t>×</w:t>
            </w:r>
            <w:r>
              <w:rPr>
                <w:rFonts w:hint="eastAsia" w:ascii="宋体" w:hAnsi="宋体" w:eastAsia="宋体" w:cs="Times New Roman"/>
                <w:sz w:val="18"/>
                <w:szCs w:val="18"/>
                <w:highlight w:val="none"/>
              </w:rPr>
              <w:t>48</w:t>
            </w:r>
            <w:r>
              <w:rPr>
                <w:rFonts w:hint="default" w:ascii="Times New Roman" w:hAnsi="Times New Roman" w:eastAsia="宋体" w:cs="Times New Roman"/>
                <w:sz w:val="18"/>
                <w:szCs w:val="18"/>
                <w:highlight w:val="none"/>
              </w:rPr>
              <w:t>h</w:t>
            </w:r>
            <w:r>
              <w:rPr>
                <w:rFonts w:hint="eastAsia" w:ascii="宋体" w:hAnsi="宋体" w:eastAsia="宋体" w:cs="Times New Roman"/>
                <w:sz w:val="18"/>
                <w:szCs w:val="18"/>
                <w:highlight w:val="none"/>
              </w:rPr>
              <w:t>）</w:t>
            </w:r>
            <w:bookmarkEnd w:id="94"/>
            <w:bookmarkEnd w:id="95"/>
          </w:p>
        </w:tc>
        <w:tc>
          <w:tcPr>
            <w:tcW w:w="1722" w:type="dxa"/>
            <w:tcBorders>
              <w:top w:val="single" w:color="auto" w:sz="4" w:space="0"/>
              <w:left w:val="single" w:color="auto" w:sz="4" w:space="0"/>
              <w:bottom w:val="single" w:color="auto" w:sz="4" w:space="0"/>
              <w:right w:val="single" w:color="auto" w:sz="4" w:space="0"/>
            </w:tcBorders>
            <w:vAlign w:val="center"/>
          </w:tcPr>
          <w:p w14:paraId="2BAC199B">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96" w:name="_Toc28326"/>
            <w:bookmarkStart w:id="97" w:name="_Toc6870"/>
            <w:r>
              <w:rPr>
                <w:rFonts w:hint="eastAsia" w:ascii="宋体" w:hAnsi="宋体" w:eastAsia="宋体" w:cs="Times New Roman"/>
                <w:sz w:val="18"/>
                <w:szCs w:val="18"/>
                <w:highlight w:val="none"/>
              </w:rPr>
              <w:t>≤0.4</w:t>
            </w:r>
            <w:bookmarkEnd w:id="96"/>
            <w:bookmarkEnd w:id="97"/>
          </w:p>
        </w:tc>
        <w:tc>
          <w:tcPr>
            <w:tcW w:w="1723" w:type="dxa"/>
            <w:tcBorders>
              <w:top w:val="single" w:color="auto" w:sz="4" w:space="0"/>
              <w:left w:val="single" w:color="auto" w:sz="4" w:space="0"/>
              <w:bottom w:val="single" w:color="auto" w:sz="4" w:space="0"/>
              <w:right w:val="single" w:color="auto" w:sz="8" w:space="0"/>
            </w:tcBorders>
            <w:vAlign w:val="center"/>
          </w:tcPr>
          <w:p w14:paraId="045F2601">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98" w:name="_Toc5508"/>
            <w:bookmarkStart w:id="99" w:name="_Toc15037"/>
            <w:r>
              <w:rPr>
                <w:rFonts w:hint="eastAsia" w:ascii="宋体" w:hAnsi="宋体" w:eastAsia="宋体" w:cs="Times New Roman"/>
                <w:sz w:val="18"/>
                <w:szCs w:val="18"/>
                <w:highlight w:val="none"/>
              </w:rPr>
              <w:t>－</w:t>
            </w:r>
            <w:bookmarkEnd w:id="98"/>
            <w:bookmarkEnd w:id="99"/>
          </w:p>
        </w:tc>
      </w:tr>
      <w:tr w14:paraId="08B9FB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5FB98A4D">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4265" w:type="dxa"/>
            <w:gridSpan w:val="2"/>
            <w:tcBorders>
              <w:top w:val="single" w:color="auto" w:sz="4" w:space="0"/>
              <w:left w:val="single" w:color="auto" w:sz="4" w:space="0"/>
              <w:bottom w:val="single" w:color="auto" w:sz="4" w:space="0"/>
              <w:right w:val="single" w:color="auto" w:sz="4" w:space="0"/>
            </w:tcBorders>
            <w:vAlign w:val="center"/>
          </w:tcPr>
          <w:p w14:paraId="6BFB90D3">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00" w:name="_Toc10768"/>
            <w:bookmarkStart w:id="101" w:name="_Toc6029"/>
            <w:r>
              <w:rPr>
                <w:rFonts w:hint="eastAsia" w:ascii="宋体" w:hAnsi="宋体" w:eastAsia="宋体" w:cs="Times New Roman"/>
                <w:sz w:val="18"/>
                <w:szCs w:val="18"/>
                <w:highlight w:val="none"/>
              </w:rPr>
              <w:t>晶相组成</w:t>
            </w:r>
            <w:bookmarkEnd w:id="100"/>
            <w:bookmarkEnd w:id="101"/>
          </w:p>
        </w:tc>
        <w:tc>
          <w:tcPr>
            <w:tcW w:w="3445" w:type="dxa"/>
            <w:gridSpan w:val="2"/>
            <w:tcBorders>
              <w:top w:val="single" w:color="auto" w:sz="4" w:space="0"/>
              <w:left w:val="single" w:color="auto" w:sz="4" w:space="0"/>
              <w:bottom w:val="single" w:color="auto" w:sz="4" w:space="0"/>
              <w:right w:val="single" w:color="auto" w:sz="8" w:space="0"/>
            </w:tcBorders>
            <w:vAlign w:val="center"/>
          </w:tcPr>
          <w:p w14:paraId="2CEFDB3A">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02" w:name="_Toc20036"/>
            <w:bookmarkStart w:id="103" w:name="_Toc30951"/>
            <w:r>
              <w:rPr>
                <w:rFonts w:hint="eastAsia" w:ascii="宋体" w:hAnsi="宋体" w:eastAsia="宋体" w:cs="Times New Roman"/>
                <w:sz w:val="18"/>
                <w:szCs w:val="18"/>
                <w:highlight w:val="none"/>
              </w:rPr>
              <w:t>提供实测数据</w:t>
            </w:r>
            <w:bookmarkEnd w:id="102"/>
            <w:bookmarkEnd w:id="103"/>
          </w:p>
        </w:tc>
      </w:tr>
      <w:tr w14:paraId="3DDE2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61E64657">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2433" w:type="dxa"/>
            <w:vMerge w:val="restart"/>
            <w:tcBorders>
              <w:top w:val="single" w:color="auto" w:sz="4" w:space="0"/>
              <w:left w:val="single" w:color="auto" w:sz="4" w:space="0"/>
              <w:bottom w:val="single" w:color="auto" w:sz="4" w:space="0"/>
              <w:right w:val="single" w:color="auto" w:sz="4" w:space="0"/>
            </w:tcBorders>
            <w:vAlign w:val="center"/>
          </w:tcPr>
          <w:p w14:paraId="5A2552A4">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04" w:name="_Toc1105"/>
            <w:bookmarkStart w:id="105" w:name="_Toc9578"/>
            <w:r>
              <w:rPr>
                <w:rFonts w:hint="eastAsia" w:ascii="宋体" w:hAnsi="宋体" w:eastAsia="宋体" w:cs="Times New Roman"/>
                <w:sz w:val="18"/>
                <w:szCs w:val="18"/>
                <w:highlight w:val="none"/>
              </w:rPr>
              <w:t>容重</w:t>
            </w:r>
            <w:r>
              <w:rPr>
                <w:rFonts w:hint="default" w:ascii="Times New Roman" w:hAnsi="Times New Roman" w:eastAsia="宋体" w:cs="Times New Roman"/>
                <w:sz w:val="18"/>
                <w:szCs w:val="18"/>
                <w:highlight w:val="none"/>
                <w:vertAlign w:val="superscript"/>
              </w:rPr>
              <w:t>a</w:t>
            </w:r>
            <w:r>
              <w:rPr>
                <w:rFonts w:hint="eastAsia" w:ascii="宋体" w:hAnsi="宋体" w:eastAsia="宋体" w:cs="Times New Roman"/>
                <w:sz w:val="18"/>
                <w:szCs w:val="18"/>
                <w:highlight w:val="none"/>
              </w:rPr>
              <w:t>/</w:t>
            </w:r>
            <w:r>
              <w:rPr>
                <w:rFonts w:hint="eastAsia" w:ascii="宋体" w:hAnsi="宋体" w:eastAsia="宋体" w:cs="Times New Roman"/>
                <w:sz w:val="18"/>
                <w:szCs w:val="18"/>
                <w:highlight w:val="none"/>
                <w:lang w:eastAsia="zh-CN"/>
              </w:rPr>
              <w:t>（</w:t>
            </w:r>
            <w:r>
              <w:rPr>
                <w:rFonts w:hint="default" w:ascii="Times New Roman" w:hAnsi="Times New Roman" w:eastAsia="宋体" w:cs="Times New Roman"/>
                <w:sz w:val="18"/>
                <w:szCs w:val="18"/>
                <w:highlight w:val="none"/>
              </w:rPr>
              <w:t>kg/m</w:t>
            </w:r>
            <w:r>
              <w:rPr>
                <w:rFonts w:hint="default" w:ascii="Times New Roman" w:hAnsi="Times New Roman" w:eastAsia="宋体" w:cs="Times New Roman"/>
                <w:sz w:val="18"/>
                <w:szCs w:val="18"/>
                <w:highlight w:val="none"/>
                <w:vertAlign w:val="superscript"/>
              </w:rPr>
              <w:t>3</w:t>
            </w:r>
            <w:r>
              <w:rPr>
                <w:rFonts w:hint="eastAsia" w:ascii="宋体" w:hAnsi="宋体" w:eastAsia="宋体" w:cs="Times New Roman"/>
                <w:sz w:val="18"/>
                <w:szCs w:val="18"/>
                <w:highlight w:val="none"/>
                <w:lang w:eastAsia="zh-CN"/>
              </w:rPr>
              <w:t>）</w:t>
            </w:r>
            <w:bookmarkEnd w:id="104"/>
            <w:bookmarkEnd w:id="105"/>
          </w:p>
        </w:tc>
        <w:tc>
          <w:tcPr>
            <w:tcW w:w="1832" w:type="dxa"/>
            <w:tcBorders>
              <w:top w:val="single" w:color="auto" w:sz="4" w:space="0"/>
              <w:left w:val="single" w:color="auto" w:sz="4" w:space="0"/>
              <w:bottom w:val="single" w:color="auto" w:sz="4" w:space="0"/>
              <w:right w:val="single" w:color="auto" w:sz="4" w:space="0"/>
            </w:tcBorders>
            <w:vAlign w:val="center"/>
          </w:tcPr>
          <w:p w14:paraId="64E05204">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rPr>
            </w:pPr>
            <w:bookmarkStart w:id="106" w:name="_Toc22877"/>
            <w:bookmarkStart w:id="107" w:name="_Toc20124"/>
            <w:r>
              <w:rPr>
                <w:rFonts w:hint="default" w:ascii="Times New Roman" w:hAnsi="Times New Roman" w:eastAsia="宋体" w:cs="Times New Roman"/>
                <w:sz w:val="18"/>
                <w:szCs w:val="18"/>
                <w:highlight w:val="none"/>
              </w:rPr>
              <w:t>PT</w:t>
            </w:r>
            <w:bookmarkEnd w:id="106"/>
            <w:bookmarkEnd w:id="107"/>
          </w:p>
        </w:tc>
        <w:tc>
          <w:tcPr>
            <w:tcW w:w="1722" w:type="dxa"/>
            <w:tcBorders>
              <w:top w:val="single" w:color="auto" w:sz="4" w:space="0"/>
              <w:left w:val="single" w:color="auto" w:sz="4" w:space="0"/>
              <w:bottom w:val="single" w:color="auto" w:sz="4" w:space="0"/>
              <w:right w:val="single" w:color="auto" w:sz="4" w:space="0"/>
            </w:tcBorders>
            <w:vAlign w:val="center"/>
          </w:tcPr>
          <w:p w14:paraId="0CB747A3">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08" w:name="_Toc20348"/>
            <w:bookmarkStart w:id="109" w:name="_Toc27928"/>
            <w:r>
              <w:rPr>
                <w:rFonts w:hint="eastAsia" w:ascii="宋体" w:hAnsi="宋体" w:eastAsia="宋体" w:cs="Times New Roman"/>
                <w:sz w:val="18"/>
                <w:szCs w:val="18"/>
                <w:highlight w:val="none"/>
              </w:rPr>
              <w:t>≥31</w:t>
            </w:r>
            <w:r>
              <w:rPr>
                <w:rFonts w:hint="eastAsia" w:ascii="宋体" w:hAnsi="宋体" w:eastAsia="宋体" w:cs="Times New Roman"/>
                <w:sz w:val="18"/>
                <w:szCs w:val="18"/>
                <w:highlight w:val="none"/>
                <w:lang w:val="en-US" w:eastAsia="zh-CN"/>
              </w:rPr>
              <w:t>5</w:t>
            </w:r>
            <w:r>
              <w:rPr>
                <w:rFonts w:hint="eastAsia" w:ascii="宋体" w:hAnsi="宋体" w:eastAsia="宋体" w:cs="Times New Roman"/>
                <w:sz w:val="18"/>
                <w:szCs w:val="18"/>
                <w:highlight w:val="none"/>
              </w:rPr>
              <w:t>0</w:t>
            </w:r>
            <w:bookmarkEnd w:id="108"/>
            <w:bookmarkEnd w:id="109"/>
          </w:p>
        </w:tc>
        <w:tc>
          <w:tcPr>
            <w:tcW w:w="1723" w:type="dxa"/>
            <w:tcBorders>
              <w:top w:val="single" w:color="auto" w:sz="4" w:space="0"/>
              <w:left w:val="single" w:color="auto" w:sz="4" w:space="0"/>
              <w:bottom w:val="single" w:color="auto" w:sz="4" w:space="0"/>
              <w:right w:val="single" w:color="auto" w:sz="8" w:space="0"/>
            </w:tcBorders>
            <w:vAlign w:val="center"/>
          </w:tcPr>
          <w:p w14:paraId="6E43E612">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10" w:name="_Toc15331"/>
            <w:bookmarkStart w:id="111" w:name="_Toc4475"/>
            <w:r>
              <w:rPr>
                <w:rFonts w:hint="eastAsia" w:ascii="宋体" w:hAnsi="宋体" w:eastAsia="宋体" w:cs="Times New Roman"/>
                <w:sz w:val="18"/>
                <w:szCs w:val="18"/>
                <w:highlight w:val="none"/>
              </w:rPr>
              <w:t>≥26</w:t>
            </w:r>
            <w:r>
              <w:rPr>
                <w:rFonts w:hint="eastAsia" w:ascii="宋体" w:hAnsi="宋体" w:eastAsia="宋体" w:cs="Times New Roman"/>
                <w:sz w:val="18"/>
                <w:szCs w:val="18"/>
                <w:highlight w:val="none"/>
                <w:lang w:val="en-US" w:eastAsia="zh-CN"/>
              </w:rPr>
              <w:t>5</w:t>
            </w:r>
            <w:r>
              <w:rPr>
                <w:rFonts w:hint="eastAsia" w:ascii="宋体" w:hAnsi="宋体" w:eastAsia="宋体" w:cs="Times New Roman"/>
                <w:sz w:val="18"/>
                <w:szCs w:val="18"/>
                <w:highlight w:val="none"/>
              </w:rPr>
              <w:t>0</w:t>
            </w:r>
            <w:bookmarkEnd w:id="110"/>
            <w:bookmarkEnd w:id="111"/>
          </w:p>
        </w:tc>
      </w:tr>
      <w:tr w14:paraId="30E8B6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23D5C65E">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2433" w:type="dxa"/>
            <w:vMerge w:val="continue"/>
            <w:tcBorders>
              <w:left w:val="single" w:color="auto" w:sz="4" w:space="0"/>
              <w:right w:val="single" w:color="auto" w:sz="4" w:space="0"/>
            </w:tcBorders>
            <w:vAlign w:val="center"/>
          </w:tcPr>
          <w:p w14:paraId="13309D43">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1832" w:type="dxa"/>
            <w:tcBorders>
              <w:top w:val="single" w:color="auto" w:sz="4" w:space="0"/>
              <w:left w:val="single" w:color="auto" w:sz="4" w:space="0"/>
              <w:bottom w:val="single" w:color="auto" w:sz="4" w:space="0"/>
              <w:right w:val="single" w:color="auto" w:sz="4" w:space="0"/>
            </w:tcBorders>
            <w:vAlign w:val="center"/>
          </w:tcPr>
          <w:p w14:paraId="30C450DD">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ZWS</w:t>
            </w:r>
          </w:p>
        </w:tc>
        <w:tc>
          <w:tcPr>
            <w:tcW w:w="1722" w:type="dxa"/>
            <w:tcBorders>
              <w:top w:val="single" w:color="auto" w:sz="4" w:space="0"/>
              <w:left w:val="single" w:color="auto" w:sz="4" w:space="0"/>
              <w:bottom w:val="single" w:color="auto" w:sz="4" w:space="0"/>
              <w:right w:val="single" w:color="auto" w:sz="4" w:space="0"/>
            </w:tcBorders>
            <w:shd w:val="clear" w:color="auto" w:fill="auto"/>
            <w:vAlign w:val="center"/>
          </w:tcPr>
          <w:p w14:paraId="3740DE2E">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≥3</w:t>
            </w:r>
            <w:r>
              <w:rPr>
                <w:rFonts w:hint="eastAsia" w:ascii="宋体" w:hAnsi="宋体" w:eastAsia="宋体" w:cs="Times New Roman"/>
                <w:sz w:val="18"/>
                <w:szCs w:val="18"/>
                <w:highlight w:val="none"/>
                <w:lang w:val="en-US" w:eastAsia="zh-CN"/>
              </w:rPr>
              <w:t>2</w:t>
            </w:r>
            <w:r>
              <w:rPr>
                <w:rFonts w:hint="eastAsia" w:ascii="宋体" w:hAnsi="宋体" w:eastAsia="宋体" w:cs="Times New Roman"/>
                <w:sz w:val="18"/>
                <w:szCs w:val="18"/>
                <w:highlight w:val="none"/>
              </w:rPr>
              <w:t>00</w:t>
            </w:r>
          </w:p>
        </w:tc>
        <w:tc>
          <w:tcPr>
            <w:tcW w:w="1723" w:type="dxa"/>
            <w:tcBorders>
              <w:top w:val="single" w:color="auto" w:sz="4" w:space="0"/>
              <w:left w:val="single" w:color="auto" w:sz="4" w:space="0"/>
              <w:bottom w:val="single" w:color="auto" w:sz="4" w:space="0"/>
              <w:right w:val="single" w:color="auto" w:sz="8" w:space="0"/>
            </w:tcBorders>
            <w:shd w:val="clear" w:color="auto" w:fill="auto"/>
            <w:vAlign w:val="center"/>
          </w:tcPr>
          <w:p w14:paraId="01DC723E">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kern w:val="2"/>
                <w:sz w:val="18"/>
                <w:szCs w:val="18"/>
                <w:highlight w:val="none"/>
                <w:lang w:val="en-US" w:eastAsia="zh-CN" w:bidi="ar-SA"/>
              </w:rPr>
            </w:pPr>
            <w:r>
              <w:rPr>
                <w:rFonts w:hint="eastAsia" w:ascii="宋体" w:hAnsi="宋体" w:eastAsia="宋体" w:cs="Times New Roman"/>
                <w:sz w:val="18"/>
                <w:szCs w:val="18"/>
                <w:highlight w:val="none"/>
              </w:rPr>
              <w:t>－</w:t>
            </w:r>
          </w:p>
        </w:tc>
      </w:tr>
      <w:tr w14:paraId="578CB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50" w:type="dxa"/>
            <w:vMerge w:val="continue"/>
            <w:tcBorders>
              <w:top w:val="single" w:color="auto" w:sz="4" w:space="0"/>
              <w:left w:val="single" w:color="auto" w:sz="8" w:space="0"/>
              <w:bottom w:val="single" w:color="auto" w:sz="4" w:space="0"/>
              <w:right w:val="single" w:color="auto" w:sz="4" w:space="0"/>
            </w:tcBorders>
            <w:vAlign w:val="center"/>
          </w:tcPr>
          <w:p w14:paraId="0E323452">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2433" w:type="dxa"/>
            <w:vMerge w:val="continue"/>
            <w:tcBorders>
              <w:top w:val="single" w:color="auto" w:sz="4" w:space="0"/>
              <w:left w:val="single" w:color="auto" w:sz="4" w:space="0"/>
              <w:bottom w:val="single" w:color="auto" w:sz="4" w:space="0"/>
              <w:right w:val="single" w:color="auto" w:sz="4" w:space="0"/>
            </w:tcBorders>
            <w:vAlign w:val="center"/>
          </w:tcPr>
          <w:p w14:paraId="252D7EB9">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p>
        </w:tc>
        <w:tc>
          <w:tcPr>
            <w:tcW w:w="1832" w:type="dxa"/>
            <w:tcBorders>
              <w:top w:val="single" w:color="auto" w:sz="4" w:space="0"/>
              <w:left w:val="single" w:color="auto" w:sz="4" w:space="0"/>
              <w:bottom w:val="single" w:color="auto" w:sz="4" w:space="0"/>
              <w:right w:val="single" w:color="auto" w:sz="4" w:space="0"/>
            </w:tcBorders>
            <w:vAlign w:val="center"/>
          </w:tcPr>
          <w:p w14:paraId="5D63426B">
            <w:pPr>
              <w:keepNext w:val="0"/>
              <w:keepLines w:val="0"/>
              <w:widowControl/>
              <w:suppressLineNumbers w:val="0"/>
              <w:spacing w:before="0" w:beforeAutospacing="0" w:after="0" w:afterAutospacing="0"/>
              <w:ind w:left="0" w:right="0"/>
              <w:jc w:val="center"/>
              <w:outlineLvl w:val="2"/>
              <w:rPr>
                <w:rFonts w:hint="default" w:ascii="Times New Roman" w:hAnsi="Times New Roman" w:eastAsia="宋体" w:cs="Times New Roman"/>
                <w:sz w:val="18"/>
                <w:szCs w:val="18"/>
                <w:highlight w:val="none"/>
              </w:rPr>
            </w:pPr>
            <w:bookmarkStart w:id="112" w:name="_Toc15444"/>
            <w:bookmarkStart w:id="113" w:name="_Toc31995"/>
            <w:r>
              <w:rPr>
                <w:rFonts w:hint="default" w:ascii="Times New Roman" w:hAnsi="Times New Roman" w:eastAsia="宋体" w:cs="Times New Roman"/>
                <w:sz w:val="18"/>
                <w:szCs w:val="18"/>
                <w:highlight w:val="none"/>
              </w:rPr>
              <w:t>WS</w:t>
            </w:r>
            <w:bookmarkEnd w:id="112"/>
            <w:bookmarkEnd w:id="113"/>
          </w:p>
        </w:tc>
        <w:tc>
          <w:tcPr>
            <w:tcW w:w="1722" w:type="dxa"/>
            <w:tcBorders>
              <w:top w:val="single" w:color="auto" w:sz="4" w:space="0"/>
              <w:left w:val="single" w:color="auto" w:sz="4" w:space="0"/>
              <w:bottom w:val="single" w:color="auto" w:sz="4" w:space="0"/>
              <w:right w:val="single" w:color="auto" w:sz="4" w:space="0"/>
            </w:tcBorders>
            <w:vAlign w:val="center"/>
          </w:tcPr>
          <w:p w14:paraId="43F7DA16">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14" w:name="_Toc5187"/>
            <w:bookmarkStart w:id="115" w:name="_Toc26614"/>
            <w:r>
              <w:rPr>
                <w:rFonts w:hint="eastAsia" w:ascii="宋体" w:hAnsi="宋体" w:eastAsia="宋体" w:cs="Times New Roman"/>
                <w:sz w:val="18"/>
                <w:szCs w:val="18"/>
                <w:highlight w:val="none"/>
              </w:rPr>
              <w:t>≥3300</w:t>
            </w:r>
            <w:bookmarkEnd w:id="114"/>
            <w:bookmarkEnd w:id="115"/>
          </w:p>
        </w:tc>
        <w:tc>
          <w:tcPr>
            <w:tcW w:w="1723" w:type="dxa"/>
            <w:tcBorders>
              <w:top w:val="single" w:color="auto" w:sz="4" w:space="0"/>
              <w:left w:val="single" w:color="auto" w:sz="4" w:space="0"/>
              <w:bottom w:val="single" w:color="auto" w:sz="4" w:space="0"/>
              <w:right w:val="single" w:color="auto" w:sz="8" w:space="0"/>
            </w:tcBorders>
            <w:vAlign w:val="center"/>
          </w:tcPr>
          <w:p w14:paraId="16766851">
            <w:pPr>
              <w:keepNext w:val="0"/>
              <w:keepLines w:val="0"/>
              <w:widowControl/>
              <w:suppressLineNumbers w:val="0"/>
              <w:spacing w:before="0" w:beforeAutospacing="0" w:after="0" w:afterAutospacing="0"/>
              <w:ind w:left="0" w:right="0"/>
              <w:jc w:val="center"/>
              <w:outlineLvl w:val="2"/>
              <w:rPr>
                <w:rFonts w:hint="eastAsia" w:ascii="宋体" w:hAnsi="宋体" w:eastAsia="宋体" w:cs="Times New Roman"/>
                <w:sz w:val="18"/>
                <w:szCs w:val="18"/>
                <w:highlight w:val="none"/>
              </w:rPr>
            </w:pPr>
            <w:bookmarkStart w:id="116" w:name="_Toc14405"/>
            <w:bookmarkStart w:id="117" w:name="_Toc16929"/>
            <w:r>
              <w:rPr>
                <w:rFonts w:hint="eastAsia" w:ascii="宋体" w:hAnsi="宋体" w:eastAsia="宋体" w:cs="Times New Roman"/>
                <w:sz w:val="18"/>
                <w:szCs w:val="18"/>
                <w:highlight w:val="none"/>
              </w:rPr>
              <w:t>≥2800</w:t>
            </w:r>
            <w:bookmarkEnd w:id="116"/>
            <w:bookmarkEnd w:id="117"/>
          </w:p>
        </w:tc>
      </w:tr>
      <w:tr w14:paraId="713F47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460" w:type="dxa"/>
            <w:gridSpan w:val="5"/>
            <w:tcBorders>
              <w:top w:val="single" w:color="auto" w:sz="4" w:space="0"/>
              <w:left w:val="single" w:color="auto" w:sz="8" w:space="0"/>
              <w:bottom w:val="single" w:color="auto" w:sz="8" w:space="0"/>
              <w:right w:val="single" w:color="auto" w:sz="8" w:space="0"/>
            </w:tcBorders>
            <w:vAlign w:val="center"/>
          </w:tcPr>
          <w:p w14:paraId="4D05C40F">
            <w:pPr>
              <w:keepNext w:val="0"/>
              <w:keepLines w:val="0"/>
              <w:widowControl/>
              <w:suppressLineNumbers w:val="0"/>
              <w:spacing w:before="0" w:beforeAutospacing="0" w:after="0" w:afterAutospacing="0"/>
              <w:ind w:left="0" w:right="0" w:firstLine="440" w:firstLineChars="200"/>
              <w:jc w:val="left"/>
              <w:outlineLvl w:val="2"/>
              <w:rPr>
                <w:rFonts w:hint="eastAsia" w:ascii="宋体" w:hAnsi="宋体" w:eastAsia="宋体" w:cs="Times New Roman"/>
                <w:sz w:val="18"/>
                <w:szCs w:val="18"/>
                <w:highlight w:val="none"/>
              </w:rPr>
            </w:pPr>
            <w:bookmarkStart w:id="118" w:name="_Toc1672"/>
            <w:bookmarkStart w:id="119" w:name="_Toc4919"/>
            <w:r>
              <w:rPr>
                <w:rFonts w:hint="default" w:ascii="Times New Roman" w:hAnsi="Times New Roman" w:eastAsia="宋体" w:cs="Times New Roman"/>
                <w:sz w:val="22"/>
                <w:highlight w:val="none"/>
                <w:vertAlign w:val="superscript"/>
              </w:rPr>
              <w:t>a</w:t>
            </w:r>
            <w:r>
              <w:rPr>
                <w:rFonts w:hint="eastAsia" w:ascii="宋体" w:hAnsi="宋体" w:eastAsia="宋体" w:cs="Times New Roman"/>
                <w:sz w:val="22"/>
                <w:highlight w:val="none"/>
                <w:vertAlign w:val="superscript"/>
              </w:rPr>
              <w:t xml:space="preserve"> </w:t>
            </w:r>
            <w:r>
              <w:rPr>
                <w:rFonts w:hint="eastAsia" w:ascii="宋体" w:hAnsi="宋体" w:eastAsia="宋体" w:cs="Times New Roman"/>
                <w:sz w:val="18"/>
                <w:szCs w:val="18"/>
                <w:highlight w:val="none"/>
              </w:rPr>
              <w:t>适用于单重大于100</w:t>
            </w:r>
            <w:r>
              <w:rPr>
                <w:rFonts w:hint="default" w:ascii="Times New Roman" w:hAnsi="Times New Roman" w:eastAsia="宋体" w:cs="Times New Roman"/>
                <w:sz w:val="18"/>
                <w:szCs w:val="18"/>
                <w:highlight w:val="none"/>
              </w:rPr>
              <w:t>kg</w:t>
            </w:r>
            <w:r>
              <w:rPr>
                <w:rFonts w:hint="eastAsia" w:ascii="宋体" w:hAnsi="宋体" w:eastAsia="宋体" w:cs="Times New Roman"/>
                <w:sz w:val="18"/>
                <w:szCs w:val="18"/>
                <w:highlight w:val="none"/>
              </w:rPr>
              <w:t>的制品。</w:t>
            </w:r>
            <w:bookmarkEnd w:id="118"/>
            <w:bookmarkEnd w:id="119"/>
          </w:p>
        </w:tc>
      </w:tr>
    </w:tbl>
    <w:p w14:paraId="23A1CBC6">
      <w:pPr>
        <w:pStyle w:val="61"/>
        <w:spacing w:before="156" w:after="156"/>
        <w:rPr>
          <w:highlight w:val="none"/>
        </w:rPr>
      </w:pPr>
      <w:bookmarkStart w:id="120" w:name="_Toc23769"/>
      <w:r>
        <w:rPr>
          <w:highlight w:val="none"/>
        </w:rPr>
        <w:t>5.2  制品的尺寸允许偏差</w:t>
      </w:r>
      <w:r>
        <w:rPr>
          <w:rFonts w:hint="eastAsia"/>
          <w:highlight w:val="none"/>
          <w:lang w:eastAsia="zh-CN"/>
        </w:rPr>
        <w:t>及</w:t>
      </w:r>
      <w:r>
        <w:rPr>
          <w:highlight w:val="none"/>
        </w:rPr>
        <w:t>外观质量</w:t>
      </w:r>
      <w:bookmarkEnd w:id="120"/>
    </w:p>
    <w:p w14:paraId="111330B1">
      <w:pPr>
        <w:keepNext w:val="0"/>
        <w:keepLines w:val="0"/>
        <w:pageBreakBefore w:val="0"/>
        <w:widowControl/>
        <w:kinsoku/>
        <w:wordWrap/>
        <w:overflowPunct/>
        <w:topLinePunct w:val="0"/>
        <w:autoSpaceDE/>
        <w:autoSpaceDN/>
        <w:bidi w:val="0"/>
        <w:adjustRightInd/>
        <w:snapToGrid/>
        <w:spacing w:before="157" w:beforeLines="50" w:after="157" w:afterLines="50"/>
        <w:jc w:val="left"/>
        <w:textAlignment w:val="auto"/>
        <w:outlineLvl w:val="2"/>
        <w:rPr>
          <w:rFonts w:hint="eastAsia" w:ascii="黑体" w:hAnsi="黑体" w:eastAsia="黑体" w:cs="Times New Roman"/>
          <w:highlight w:val="none"/>
        </w:rPr>
      </w:pPr>
      <w:bookmarkStart w:id="121" w:name="_Toc8820"/>
      <w:bookmarkStart w:id="122" w:name="_Toc5737"/>
      <w:r>
        <w:rPr>
          <w:rFonts w:hint="eastAsia" w:ascii="黑体" w:hAnsi="黑体" w:eastAsia="黑体" w:cs="黑体"/>
          <w:spacing w:val="8"/>
          <w:kern w:val="0"/>
          <w:szCs w:val="21"/>
          <w:highlight w:val="none"/>
        </w:rPr>
        <w:t>5.2.1</w:t>
      </w:r>
      <w:r>
        <w:rPr>
          <w:rFonts w:hint="eastAsia" w:ascii="黑体" w:hAnsi="Times New Roman" w:eastAsia="黑体" w:cs="Times New Roman"/>
          <w:color w:val="000000"/>
          <w:kern w:val="0"/>
          <w:szCs w:val="21"/>
          <w:highlight w:val="none"/>
        </w:rPr>
        <w:t xml:space="preserve"> </w:t>
      </w:r>
      <w:r>
        <w:rPr>
          <w:rFonts w:hint="eastAsia" w:ascii="宋体" w:hAnsi="宋体" w:eastAsia="宋体" w:cs="宋体"/>
          <w:color w:val="000000"/>
          <w:kern w:val="0"/>
          <w:szCs w:val="21"/>
          <w:highlight w:val="none"/>
        </w:rPr>
        <w:t>制品的尺寸允许偏差及外观质量应符合表4的规定</w:t>
      </w:r>
      <w:r>
        <w:rPr>
          <w:rFonts w:hint="eastAsia" w:ascii="黑体" w:hAnsi="Times New Roman" w:eastAsia="黑体" w:cs="Times New Roman"/>
          <w:color w:val="000000"/>
          <w:kern w:val="0"/>
          <w:szCs w:val="21"/>
          <w:highlight w:val="none"/>
        </w:rPr>
        <w:t>。</w:t>
      </w:r>
      <w:bookmarkEnd w:id="121"/>
      <w:bookmarkEnd w:id="122"/>
    </w:p>
    <w:p w14:paraId="283FADE6">
      <w:pPr>
        <w:widowControl/>
        <w:spacing w:before="156" w:beforeLines="50" w:after="156" w:afterLines="50"/>
        <w:jc w:val="center"/>
        <w:outlineLvl w:val="2"/>
        <w:rPr>
          <w:rFonts w:hint="eastAsia" w:ascii="黑体" w:hAnsi="黑体" w:eastAsia="黑体" w:cs="Times New Roman"/>
          <w:highlight w:val="none"/>
        </w:rPr>
      </w:pPr>
      <w:bookmarkStart w:id="123" w:name="_Toc6986"/>
      <w:bookmarkStart w:id="124" w:name="_Toc7821"/>
      <w:r>
        <w:rPr>
          <w:rFonts w:ascii="黑体" w:hAnsi="黑体" w:eastAsia="黑体" w:cs="Times New Roman"/>
          <w:highlight w:val="none"/>
        </w:rPr>
        <w:t>表</w:t>
      </w:r>
      <w:r>
        <w:rPr>
          <w:rFonts w:hint="eastAsia" w:ascii="黑体" w:hAnsi="黑体" w:eastAsia="黑体" w:cs="Times New Roman"/>
          <w:highlight w:val="none"/>
        </w:rPr>
        <w:t>4</w:t>
      </w:r>
      <w:r>
        <w:rPr>
          <w:rFonts w:ascii="黑体" w:hAnsi="黑体" w:eastAsia="黑体" w:cs="Times New Roman"/>
          <w:highlight w:val="none"/>
        </w:rPr>
        <w:t xml:space="preserve"> </w:t>
      </w:r>
      <w:r>
        <w:rPr>
          <w:rFonts w:hint="eastAsia" w:ascii="黑体" w:hAnsi="黑体" w:eastAsia="黑体" w:cs="Times New Roman"/>
          <w:highlight w:val="none"/>
        </w:rPr>
        <w:t>制品的尺寸允许偏差及外观质量</w:t>
      </w:r>
      <w:bookmarkEnd w:id="123"/>
      <w:bookmarkEnd w:id="124"/>
    </w:p>
    <w:p w14:paraId="2DFF21DA">
      <w:pPr>
        <w:rPr>
          <w:rFonts w:hint="eastAsia"/>
          <w:highlight w:val="none"/>
        </w:rPr>
      </w:pPr>
      <w:r>
        <w:rPr>
          <w:rFonts w:ascii="宋体" w:hAnsi="宋体" w:eastAsia="宋体" w:cs="Times New Roman"/>
          <w:sz w:val="18"/>
          <w:szCs w:val="20"/>
          <w:highlight w:val="none"/>
        </w:rPr>
        <w:t xml:space="preserve">                                                       </w:t>
      </w:r>
      <w:r>
        <w:rPr>
          <w:rFonts w:hint="eastAsia" w:ascii="宋体" w:hAnsi="宋体" w:eastAsia="宋体" w:cs="Times New Roman"/>
          <w:sz w:val="18"/>
          <w:szCs w:val="20"/>
          <w:highlight w:val="none"/>
        </w:rPr>
        <w:t xml:space="preserve">           </w:t>
      </w:r>
      <w:r>
        <w:rPr>
          <w:rFonts w:ascii="宋体" w:hAnsi="宋体" w:eastAsia="宋体" w:cs="Times New Roman"/>
          <w:sz w:val="18"/>
          <w:szCs w:val="20"/>
          <w:highlight w:val="none"/>
        </w:rPr>
        <w:t xml:space="preserve">   </w:t>
      </w:r>
      <w:r>
        <w:rPr>
          <w:rFonts w:hint="eastAsia" w:ascii="宋体" w:hAnsi="宋体" w:eastAsia="宋体" w:cs="Times New Roman"/>
          <w:sz w:val="18"/>
          <w:szCs w:val="20"/>
          <w:highlight w:val="none"/>
        </w:rPr>
        <w:t xml:space="preserve">                      </w:t>
      </w:r>
      <w:r>
        <w:rPr>
          <w:rFonts w:ascii="宋体" w:hAnsi="宋体" w:eastAsia="宋体" w:cs="Times New Roman"/>
          <w:sz w:val="18"/>
          <w:szCs w:val="20"/>
          <w:highlight w:val="none"/>
        </w:rPr>
        <w:t xml:space="preserve">  单位</w:t>
      </w:r>
      <w:r>
        <w:rPr>
          <w:rFonts w:hint="eastAsia" w:ascii="宋体" w:hAnsi="宋体" w:eastAsia="宋体" w:cs="Times New Roman"/>
          <w:sz w:val="18"/>
          <w:szCs w:val="20"/>
          <w:highlight w:val="none"/>
        </w:rPr>
        <w:t>为毫米</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429"/>
        <w:gridCol w:w="1690"/>
        <w:gridCol w:w="4"/>
        <w:gridCol w:w="2605"/>
        <w:gridCol w:w="2606"/>
      </w:tblGrid>
      <w:tr w14:paraId="4A8B4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4123" w:type="dxa"/>
            <w:gridSpan w:val="3"/>
            <w:vMerge w:val="restart"/>
            <w:tcBorders>
              <w:top w:val="single" w:color="000000" w:sz="8" w:space="0"/>
              <w:left w:val="single" w:color="000000" w:sz="8" w:space="0"/>
              <w:bottom w:val="single" w:color="000000" w:sz="4" w:space="0"/>
              <w:right w:val="single" w:color="000000" w:sz="4" w:space="0"/>
            </w:tcBorders>
            <w:vAlign w:val="center"/>
          </w:tcPr>
          <w:p w14:paraId="2FC2851C">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25" w:name="_Toc668"/>
            <w:bookmarkStart w:id="126" w:name="_Toc26166"/>
            <w:r>
              <w:rPr>
                <w:rFonts w:hint="default" w:ascii="Times New Roman" w:hAnsi="Times New Roman" w:eastAsia="宋体"/>
                <w:sz w:val="18"/>
                <w:szCs w:val="18"/>
                <w:highlight w:val="none"/>
              </w:rPr>
              <w:t>项目</w:t>
            </w:r>
            <w:bookmarkEnd w:id="125"/>
            <w:bookmarkEnd w:id="126"/>
          </w:p>
        </w:tc>
        <w:tc>
          <w:tcPr>
            <w:tcW w:w="5211" w:type="dxa"/>
            <w:gridSpan w:val="2"/>
            <w:tcBorders>
              <w:top w:val="single" w:color="000000" w:sz="8" w:space="0"/>
              <w:left w:val="single" w:color="000000" w:sz="4" w:space="0"/>
              <w:bottom w:val="single" w:color="000000" w:sz="4" w:space="0"/>
              <w:right w:val="single" w:color="000000" w:sz="8" w:space="0"/>
            </w:tcBorders>
            <w:vAlign w:val="center"/>
          </w:tcPr>
          <w:p w14:paraId="54793FA3">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27" w:name="_Toc4345"/>
            <w:bookmarkStart w:id="128" w:name="_Toc13133"/>
            <w:r>
              <w:rPr>
                <w:rFonts w:hint="default" w:ascii="Times New Roman" w:hAnsi="Times New Roman" w:eastAsia="宋体"/>
                <w:sz w:val="18"/>
                <w:szCs w:val="18"/>
                <w:highlight w:val="none"/>
              </w:rPr>
              <w:t>指标</w:t>
            </w:r>
            <w:bookmarkEnd w:id="127"/>
            <w:bookmarkEnd w:id="128"/>
          </w:p>
        </w:tc>
      </w:tr>
      <w:tr w14:paraId="5078D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4123" w:type="dxa"/>
            <w:gridSpan w:val="3"/>
            <w:vMerge w:val="continue"/>
            <w:tcBorders>
              <w:top w:val="single" w:color="000000" w:sz="4" w:space="0"/>
              <w:left w:val="single" w:color="000000" w:sz="8" w:space="0"/>
              <w:bottom w:val="single" w:color="000000" w:sz="8" w:space="0"/>
              <w:right w:val="single" w:color="000000" w:sz="4" w:space="0"/>
            </w:tcBorders>
            <w:vAlign w:val="center"/>
          </w:tcPr>
          <w:p w14:paraId="5B34A617">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2605" w:type="dxa"/>
            <w:tcBorders>
              <w:top w:val="single" w:color="000000" w:sz="4" w:space="0"/>
              <w:left w:val="single" w:color="000000" w:sz="4" w:space="0"/>
              <w:bottom w:val="single" w:color="000000" w:sz="8" w:space="0"/>
              <w:right w:val="single" w:color="000000" w:sz="4" w:space="0"/>
            </w:tcBorders>
            <w:vAlign w:val="center"/>
          </w:tcPr>
          <w:p w14:paraId="0DD4952D">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29" w:name="_Toc26196"/>
            <w:bookmarkStart w:id="130" w:name="_Toc6150"/>
            <w:r>
              <w:rPr>
                <w:rFonts w:hint="default" w:ascii="Times New Roman" w:hAnsi="Times New Roman" w:eastAsia="宋体"/>
                <w:sz w:val="18"/>
                <w:szCs w:val="18"/>
                <w:highlight w:val="none"/>
              </w:rPr>
              <w:t>粗加工面</w:t>
            </w:r>
            <w:bookmarkEnd w:id="129"/>
            <w:bookmarkEnd w:id="130"/>
          </w:p>
        </w:tc>
        <w:tc>
          <w:tcPr>
            <w:tcW w:w="2606" w:type="dxa"/>
            <w:tcBorders>
              <w:top w:val="single" w:color="000000" w:sz="4" w:space="0"/>
              <w:left w:val="single" w:color="000000" w:sz="4" w:space="0"/>
              <w:bottom w:val="single" w:color="000000" w:sz="8" w:space="0"/>
              <w:right w:val="single" w:color="000000" w:sz="8" w:space="0"/>
            </w:tcBorders>
            <w:vAlign w:val="center"/>
          </w:tcPr>
          <w:p w14:paraId="2F6BAA81">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31" w:name="_Toc7502"/>
            <w:bookmarkStart w:id="132" w:name="_Toc15518"/>
            <w:r>
              <w:rPr>
                <w:rFonts w:hint="default" w:ascii="Times New Roman" w:hAnsi="Times New Roman" w:eastAsia="宋体"/>
                <w:sz w:val="18"/>
                <w:szCs w:val="18"/>
                <w:highlight w:val="none"/>
              </w:rPr>
              <w:t>精加工面</w:t>
            </w:r>
            <w:bookmarkEnd w:id="131"/>
            <w:bookmarkEnd w:id="132"/>
          </w:p>
        </w:tc>
      </w:tr>
      <w:tr w14:paraId="006A6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4123" w:type="dxa"/>
            <w:gridSpan w:val="3"/>
            <w:tcBorders>
              <w:top w:val="single" w:color="000000" w:sz="8" w:space="0"/>
              <w:left w:val="single" w:color="000000" w:sz="8" w:space="0"/>
              <w:bottom w:val="single" w:color="000000" w:sz="4" w:space="0"/>
              <w:right w:val="single" w:color="000000" w:sz="4" w:space="0"/>
            </w:tcBorders>
            <w:vAlign w:val="center"/>
          </w:tcPr>
          <w:p w14:paraId="460850FE">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33" w:name="_Toc28579"/>
            <w:bookmarkStart w:id="134" w:name="_Toc27855"/>
            <w:r>
              <w:rPr>
                <w:rFonts w:hint="default" w:ascii="Times New Roman" w:hAnsi="Times New Roman" w:eastAsia="宋体"/>
                <w:sz w:val="18"/>
                <w:szCs w:val="18"/>
                <w:highlight w:val="none"/>
              </w:rPr>
              <w:t>尺寸</w:t>
            </w:r>
            <w:r>
              <w:rPr>
                <w:rFonts w:hint="eastAsia" w:ascii="Times New Roman" w:hAnsi="Times New Roman" w:eastAsia="宋体"/>
                <w:sz w:val="18"/>
                <w:szCs w:val="18"/>
                <w:highlight w:val="none"/>
              </w:rPr>
              <w:t>允许</w:t>
            </w:r>
            <w:r>
              <w:rPr>
                <w:rFonts w:hint="default" w:ascii="Times New Roman" w:hAnsi="Times New Roman" w:eastAsia="宋体"/>
                <w:sz w:val="18"/>
                <w:szCs w:val="18"/>
                <w:highlight w:val="none"/>
              </w:rPr>
              <w:t>偏差</w:t>
            </w:r>
            <w:bookmarkEnd w:id="133"/>
            <w:bookmarkEnd w:id="134"/>
          </w:p>
        </w:tc>
        <w:tc>
          <w:tcPr>
            <w:tcW w:w="2605" w:type="dxa"/>
            <w:tcBorders>
              <w:top w:val="single" w:color="000000" w:sz="8" w:space="0"/>
              <w:left w:val="single" w:color="000000" w:sz="4" w:space="0"/>
              <w:bottom w:val="single" w:color="000000" w:sz="4" w:space="0"/>
              <w:right w:val="single" w:color="000000" w:sz="4" w:space="0"/>
            </w:tcBorders>
            <w:vAlign w:val="center"/>
          </w:tcPr>
          <w:p w14:paraId="4817F1CC">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35" w:name="_Toc18969"/>
            <w:bookmarkStart w:id="136" w:name="_Toc13107"/>
            <w:r>
              <w:rPr>
                <w:rFonts w:hint="eastAsia" w:ascii="宋体" w:hAnsi="宋体" w:eastAsia="宋体" w:cs="宋体"/>
                <w:sz w:val="18"/>
                <w:szCs w:val="18"/>
                <w:highlight w:val="none"/>
              </w:rPr>
              <w:t>+1～-4</w:t>
            </w:r>
            <w:bookmarkEnd w:id="135"/>
            <w:bookmarkEnd w:id="136"/>
          </w:p>
        </w:tc>
        <w:tc>
          <w:tcPr>
            <w:tcW w:w="2606" w:type="dxa"/>
            <w:tcBorders>
              <w:top w:val="single" w:color="000000" w:sz="8" w:space="0"/>
              <w:left w:val="single" w:color="000000" w:sz="4" w:space="0"/>
              <w:bottom w:val="single" w:color="000000" w:sz="4" w:space="0"/>
              <w:right w:val="single" w:color="000000" w:sz="8" w:space="0"/>
            </w:tcBorders>
            <w:vAlign w:val="center"/>
          </w:tcPr>
          <w:p w14:paraId="59A3EA90">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37" w:name="_Toc2173"/>
            <w:bookmarkStart w:id="138" w:name="_Toc24726"/>
            <w:r>
              <w:rPr>
                <w:rFonts w:hint="eastAsia" w:ascii="宋体" w:hAnsi="宋体" w:eastAsia="宋体" w:cs="宋体"/>
                <w:sz w:val="18"/>
                <w:szCs w:val="18"/>
                <w:highlight w:val="none"/>
              </w:rPr>
              <w:t>0～-2</w:t>
            </w:r>
            <w:bookmarkEnd w:id="137"/>
            <w:bookmarkEnd w:id="138"/>
          </w:p>
        </w:tc>
      </w:tr>
      <w:tr w14:paraId="71049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4123" w:type="dxa"/>
            <w:gridSpan w:val="3"/>
            <w:tcBorders>
              <w:top w:val="single" w:color="000000" w:sz="4" w:space="0"/>
              <w:left w:val="single" w:color="000000" w:sz="8" w:space="0"/>
              <w:bottom w:val="single" w:color="000000" w:sz="4" w:space="0"/>
              <w:right w:val="single" w:color="000000" w:sz="4" w:space="0"/>
            </w:tcBorders>
            <w:vAlign w:val="center"/>
          </w:tcPr>
          <w:p w14:paraId="4BEBC96A">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39" w:name="_Toc21439"/>
            <w:bookmarkStart w:id="140" w:name="_Toc27172"/>
            <w:r>
              <w:rPr>
                <w:rFonts w:hint="default" w:ascii="Times New Roman" w:hAnsi="Times New Roman" w:eastAsia="宋体"/>
                <w:sz w:val="18"/>
                <w:szCs w:val="18"/>
                <w:highlight w:val="none"/>
              </w:rPr>
              <w:t>直度角</w:t>
            </w:r>
            <w:r>
              <w:rPr>
                <w:rFonts w:hint="default" w:ascii="Times New Roman" w:hAnsi="Times New Roman" w:eastAsia="宋体" w:cs="Times New Roman"/>
                <w:sz w:val="18"/>
                <w:szCs w:val="18"/>
                <w:highlight w:val="none"/>
                <w:vertAlign w:val="superscript"/>
              </w:rPr>
              <w:t>a</w:t>
            </w:r>
            <w:bookmarkEnd w:id="139"/>
            <w:bookmarkEnd w:id="140"/>
          </w:p>
        </w:tc>
        <w:tc>
          <w:tcPr>
            <w:tcW w:w="2605" w:type="dxa"/>
            <w:tcBorders>
              <w:top w:val="single" w:color="000000" w:sz="4" w:space="0"/>
              <w:left w:val="single" w:color="000000" w:sz="4" w:space="0"/>
              <w:bottom w:val="single" w:color="000000" w:sz="4" w:space="0"/>
              <w:right w:val="single" w:color="000000" w:sz="4" w:space="0"/>
            </w:tcBorders>
            <w:vAlign w:val="center"/>
          </w:tcPr>
          <w:p w14:paraId="2F9AD6BD">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41" w:name="_Toc31398"/>
            <w:bookmarkStart w:id="142" w:name="_Toc18487"/>
            <w:r>
              <w:rPr>
                <w:rFonts w:hint="eastAsia" w:ascii="宋体" w:hAnsi="宋体" w:eastAsia="宋体" w:cs="宋体"/>
                <w:sz w:val="18"/>
                <w:szCs w:val="18"/>
                <w:highlight w:val="none"/>
              </w:rPr>
              <w:t>0～2</w:t>
            </w:r>
            <w:bookmarkEnd w:id="141"/>
            <w:bookmarkEnd w:id="142"/>
          </w:p>
        </w:tc>
        <w:tc>
          <w:tcPr>
            <w:tcW w:w="2606" w:type="dxa"/>
            <w:tcBorders>
              <w:top w:val="single" w:color="000000" w:sz="4" w:space="0"/>
              <w:left w:val="single" w:color="000000" w:sz="4" w:space="0"/>
              <w:bottom w:val="single" w:color="000000" w:sz="4" w:space="0"/>
              <w:right w:val="single" w:color="000000" w:sz="8" w:space="0"/>
            </w:tcBorders>
            <w:vAlign w:val="center"/>
          </w:tcPr>
          <w:p w14:paraId="622CF01E">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43" w:name="_Toc27805"/>
            <w:bookmarkStart w:id="144" w:name="_Toc14233"/>
            <w:r>
              <w:rPr>
                <w:rFonts w:hint="eastAsia" w:ascii="宋体" w:hAnsi="宋体" w:eastAsia="宋体" w:cs="宋体"/>
                <w:sz w:val="18"/>
                <w:szCs w:val="18"/>
                <w:highlight w:val="none"/>
              </w:rPr>
              <w:t>0～1</w:t>
            </w:r>
            <w:bookmarkEnd w:id="143"/>
            <w:bookmarkEnd w:id="144"/>
          </w:p>
        </w:tc>
      </w:tr>
      <w:tr w14:paraId="24523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4123" w:type="dxa"/>
            <w:gridSpan w:val="3"/>
            <w:tcBorders>
              <w:top w:val="single" w:color="000000" w:sz="4" w:space="0"/>
              <w:left w:val="single" w:color="000000" w:sz="8" w:space="0"/>
              <w:bottom w:val="single" w:color="000000" w:sz="4" w:space="0"/>
              <w:right w:val="single" w:color="000000" w:sz="4" w:space="0"/>
            </w:tcBorders>
            <w:vAlign w:val="center"/>
          </w:tcPr>
          <w:p w14:paraId="171D4F4F">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45" w:name="_Toc8789"/>
            <w:bookmarkStart w:id="146" w:name="_Toc4130"/>
            <w:r>
              <w:rPr>
                <w:rFonts w:hint="default" w:ascii="Times New Roman" w:hAnsi="Times New Roman" w:eastAsia="宋体"/>
                <w:sz w:val="18"/>
                <w:szCs w:val="18"/>
                <w:highlight w:val="none"/>
              </w:rPr>
              <w:t>砌筑面扭曲</w:t>
            </w:r>
            <w:bookmarkEnd w:id="145"/>
            <w:bookmarkEnd w:id="146"/>
          </w:p>
        </w:tc>
        <w:tc>
          <w:tcPr>
            <w:tcW w:w="2605" w:type="dxa"/>
            <w:tcBorders>
              <w:top w:val="single" w:color="000000" w:sz="4" w:space="0"/>
              <w:left w:val="single" w:color="000000" w:sz="4" w:space="0"/>
              <w:bottom w:val="single" w:color="000000" w:sz="4" w:space="0"/>
              <w:right w:val="single" w:color="000000" w:sz="4" w:space="0"/>
            </w:tcBorders>
            <w:vAlign w:val="center"/>
          </w:tcPr>
          <w:p w14:paraId="5A7859DF">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47" w:name="_Toc30313"/>
            <w:bookmarkStart w:id="148" w:name="_Toc28933"/>
            <w:r>
              <w:rPr>
                <w:rFonts w:hint="eastAsia" w:ascii="宋体" w:hAnsi="宋体" w:eastAsia="宋体" w:cs="宋体"/>
                <w:sz w:val="18"/>
                <w:szCs w:val="18"/>
                <w:highlight w:val="none"/>
              </w:rPr>
              <w:t>—</w:t>
            </w:r>
            <w:bookmarkEnd w:id="147"/>
            <w:bookmarkEnd w:id="148"/>
          </w:p>
        </w:tc>
        <w:tc>
          <w:tcPr>
            <w:tcW w:w="2606" w:type="dxa"/>
            <w:tcBorders>
              <w:top w:val="single" w:color="000000" w:sz="4" w:space="0"/>
              <w:left w:val="single" w:color="000000" w:sz="4" w:space="0"/>
              <w:bottom w:val="single" w:color="000000" w:sz="4" w:space="0"/>
              <w:right w:val="single" w:color="000000" w:sz="8" w:space="0"/>
            </w:tcBorders>
            <w:vAlign w:val="center"/>
          </w:tcPr>
          <w:p w14:paraId="561CA77D">
            <w:pPr>
              <w:pStyle w:val="22"/>
              <w:keepNext w:val="0"/>
              <w:keepLines w:val="0"/>
              <w:widowControl/>
              <w:numPr>
                <w:ilvl w:val="1"/>
                <w:numId w:val="0"/>
              </w:numPr>
              <w:suppressLineNumbers w:val="0"/>
              <w:spacing w:before="0" w:beforeLines="0" w:beforeAutospacing="0" w:after="0" w:afterLines="0" w:afterAutospacing="0"/>
              <w:ind w:left="0" w:right="0"/>
              <w:jc w:val="center"/>
              <w:rPr>
                <w:rFonts w:hint="eastAsia" w:ascii="宋体" w:hAnsi="宋体" w:eastAsia="宋体" w:cs="宋体"/>
                <w:sz w:val="18"/>
                <w:szCs w:val="18"/>
                <w:highlight w:val="none"/>
              </w:rPr>
            </w:pPr>
            <w:bookmarkStart w:id="149" w:name="_Toc1272"/>
            <w:bookmarkStart w:id="150" w:name="_Toc16518"/>
            <w:r>
              <w:rPr>
                <w:rFonts w:hint="eastAsia" w:ascii="宋体" w:hAnsi="宋体" w:eastAsia="宋体" w:cs="宋体"/>
                <w:sz w:val="18"/>
                <w:szCs w:val="18"/>
                <w:highlight w:val="none"/>
              </w:rPr>
              <w:t>+1～-1</w:t>
            </w:r>
            <w:bookmarkEnd w:id="149"/>
            <w:bookmarkEnd w:id="150"/>
          </w:p>
        </w:tc>
      </w:tr>
      <w:tr w14:paraId="7A5996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2429" w:type="dxa"/>
            <w:vMerge w:val="restart"/>
            <w:tcBorders>
              <w:top w:val="single" w:color="000000" w:sz="4" w:space="0"/>
              <w:left w:val="single" w:color="000000" w:sz="8" w:space="0"/>
              <w:bottom w:val="single" w:color="000000" w:sz="4" w:space="0"/>
              <w:right w:val="single" w:color="000000" w:sz="4" w:space="0"/>
            </w:tcBorders>
            <w:vAlign w:val="center"/>
          </w:tcPr>
          <w:p w14:paraId="3BDD91C3">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51" w:name="_Toc17808"/>
            <w:bookmarkStart w:id="152" w:name="_Toc6781"/>
            <w:r>
              <w:rPr>
                <w:rFonts w:hint="default" w:ascii="Times New Roman" w:hAnsi="Times New Roman" w:eastAsia="宋体"/>
                <w:sz w:val="18"/>
                <w:szCs w:val="18"/>
                <w:highlight w:val="none"/>
              </w:rPr>
              <w:t>缺角</w:t>
            </w:r>
            <w:r>
              <w:rPr>
                <w:rFonts w:hint="eastAsia" w:ascii="Times New Roman" w:hAnsi="Times New Roman" w:eastAsia="宋体" w:cs="宋体"/>
                <w:sz w:val="18"/>
                <w:szCs w:val="18"/>
                <w:highlight w:val="none"/>
              </w:rPr>
              <w:t>（</w:t>
            </w:r>
            <w:r>
              <w:rPr>
                <w:rFonts w:hint="eastAsia" w:ascii="Times New Roman" w:hAnsi="Times New Roman" w:eastAsia="宋体" w:cs="宋体"/>
                <w:i/>
                <w:iCs/>
                <w:sz w:val="18"/>
                <w:szCs w:val="18"/>
                <w:highlight w:val="none"/>
              </w:rPr>
              <w:t>a+b+c</w:t>
            </w:r>
            <w:r>
              <w:rPr>
                <w:rFonts w:hint="eastAsia" w:ascii="Times New Roman" w:hAnsi="Times New Roman" w:eastAsia="宋体" w:cs="宋体"/>
                <w:sz w:val="18"/>
                <w:szCs w:val="18"/>
                <w:highlight w:val="none"/>
              </w:rPr>
              <w:t>）</w:t>
            </w:r>
            <w:bookmarkEnd w:id="151"/>
            <w:bookmarkEnd w:id="152"/>
          </w:p>
        </w:tc>
        <w:tc>
          <w:tcPr>
            <w:tcW w:w="1690" w:type="dxa"/>
            <w:tcBorders>
              <w:top w:val="single" w:color="000000" w:sz="4" w:space="0"/>
              <w:left w:val="single" w:color="000000" w:sz="4" w:space="0"/>
              <w:bottom w:val="single" w:color="000000" w:sz="4" w:space="0"/>
              <w:right w:val="single" w:color="000000" w:sz="4" w:space="0"/>
            </w:tcBorders>
            <w:vAlign w:val="center"/>
          </w:tcPr>
          <w:p w14:paraId="3E2DBCD5">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53" w:name="_Toc10500"/>
            <w:bookmarkStart w:id="154" w:name="_Toc17989"/>
            <w:r>
              <w:rPr>
                <w:rFonts w:hint="default" w:ascii="Times New Roman" w:hAnsi="Times New Roman" w:eastAsia="宋体"/>
                <w:sz w:val="18"/>
                <w:szCs w:val="18"/>
                <w:highlight w:val="none"/>
              </w:rPr>
              <w:t>工作面</w:t>
            </w:r>
            <w:bookmarkEnd w:id="153"/>
            <w:bookmarkEnd w:id="154"/>
          </w:p>
        </w:tc>
        <w:tc>
          <w:tcPr>
            <w:tcW w:w="5215" w:type="dxa"/>
            <w:gridSpan w:val="3"/>
            <w:tcBorders>
              <w:top w:val="single" w:color="000000" w:sz="4" w:space="0"/>
              <w:left w:val="single" w:color="000000" w:sz="4" w:space="0"/>
              <w:bottom w:val="single" w:color="000000" w:sz="4" w:space="0"/>
              <w:right w:val="single" w:color="000000" w:sz="8" w:space="0"/>
            </w:tcBorders>
            <w:vAlign w:val="center"/>
          </w:tcPr>
          <w:p w14:paraId="7BB21842">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55" w:name="_Toc4321"/>
            <w:bookmarkStart w:id="156" w:name="_Toc7318"/>
            <w:r>
              <w:rPr>
                <w:rFonts w:hint="eastAsia" w:ascii="宋体" w:hAnsi="宋体" w:eastAsia="宋体" w:cs="宋体"/>
                <w:sz w:val="18"/>
                <w:szCs w:val="18"/>
                <w:highlight w:val="none"/>
              </w:rPr>
              <w:t>≤</w:t>
            </w:r>
            <w:r>
              <w:rPr>
                <w:rFonts w:hint="eastAsia" w:ascii="宋体" w:hAnsi="宋体" w:eastAsia="宋体" w:cs="宋体"/>
                <w:spacing w:val="-1"/>
                <w:sz w:val="18"/>
                <w:szCs w:val="18"/>
                <w:highlight w:val="none"/>
              </w:rPr>
              <w:t>1</w:t>
            </w:r>
            <w:r>
              <w:rPr>
                <w:rFonts w:hint="eastAsia" w:ascii="宋体" w:hAnsi="宋体" w:eastAsia="宋体" w:cs="宋体"/>
                <w:spacing w:val="-1"/>
                <w:sz w:val="18"/>
                <w:szCs w:val="18"/>
                <w:highlight w:val="none"/>
                <w:lang w:val="en-US" w:eastAsia="zh-CN"/>
              </w:rPr>
              <w:t>3</w:t>
            </w:r>
            <w:r>
              <w:rPr>
                <w:rFonts w:hint="eastAsia" w:ascii="宋体" w:hAnsi="宋体" w:eastAsia="宋体" w:cs="宋体"/>
                <w:spacing w:val="-1"/>
                <w:sz w:val="18"/>
                <w:szCs w:val="18"/>
                <w:highlight w:val="none"/>
              </w:rPr>
              <w:t>0</w:t>
            </w:r>
            <w:r>
              <w:rPr>
                <w:rFonts w:hint="eastAsia" w:ascii="宋体" w:hAnsi="宋体" w:eastAsia="宋体" w:cs="宋体"/>
                <w:sz w:val="18"/>
                <w:szCs w:val="18"/>
                <w:highlight w:val="none"/>
              </w:rPr>
              <w:t>，不超过2处</w:t>
            </w:r>
            <w:bookmarkEnd w:id="155"/>
            <w:bookmarkEnd w:id="156"/>
          </w:p>
        </w:tc>
      </w:tr>
      <w:tr w14:paraId="35371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2" w:hRule="atLeast"/>
          <w:jc w:val="center"/>
        </w:trPr>
        <w:tc>
          <w:tcPr>
            <w:tcW w:w="2429" w:type="dxa"/>
            <w:vMerge w:val="continue"/>
            <w:tcBorders>
              <w:top w:val="single" w:color="000000" w:sz="4" w:space="0"/>
              <w:left w:val="single" w:color="000000" w:sz="8" w:space="0"/>
              <w:bottom w:val="single" w:color="000000" w:sz="8" w:space="0"/>
              <w:right w:val="single" w:color="000000" w:sz="4" w:space="0"/>
            </w:tcBorders>
            <w:vAlign w:val="center"/>
          </w:tcPr>
          <w:p w14:paraId="6548C4D4">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000000" w:sz="4" w:space="0"/>
              <w:left w:val="single" w:color="000000" w:sz="4" w:space="0"/>
              <w:bottom w:val="single" w:color="000000" w:sz="8" w:space="0"/>
              <w:right w:val="single" w:color="000000" w:sz="4" w:space="0"/>
            </w:tcBorders>
            <w:vAlign w:val="center"/>
          </w:tcPr>
          <w:p w14:paraId="33B3D9F9">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57" w:name="_Toc28824"/>
            <w:bookmarkStart w:id="158" w:name="_Toc16380"/>
            <w:r>
              <w:rPr>
                <w:rFonts w:hint="default" w:ascii="Times New Roman" w:hAnsi="Times New Roman" w:eastAsia="宋体"/>
                <w:sz w:val="18"/>
                <w:szCs w:val="18"/>
                <w:highlight w:val="none"/>
              </w:rPr>
              <w:t>非工作面</w:t>
            </w:r>
            <w:bookmarkEnd w:id="157"/>
            <w:bookmarkEnd w:id="158"/>
          </w:p>
        </w:tc>
        <w:tc>
          <w:tcPr>
            <w:tcW w:w="5215" w:type="dxa"/>
            <w:gridSpan w:val="3"/>
            <w:tcBorders>
              <w:top w:val="single" w:color="000000" w:sz="4" w:space="0"/>
              <w:left w:val="single" w:color="000000" w:sz="4" w:space="0"/>
              <w:bottom w:val="single" w:color="000000" w:sz="8" w:space="0"/>
              <w:right w:val="single" w:color="000000" w:sz="8" w:space="0"/>
            </w:tcBorders>
            <w:vAlign w:val="center"/>
          </w:tcPr>
          <w:p w14:paraId="15BE00F3">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59" w:name="_Toc32071"/>
            <w:bookmarkStart w:id="160" w:name="_Toc989"/>
            <w:r>
              <w:rPr>
                <w:rFonts w:hint="eastAsia" w:ascii="宋体" w:hAnsi="宋体" w:eastAsia="宋体" w:cs="宋体"/>
                <w:sz w:val="18"/>
                <w:szCs w:val="18"/>
                <w:highlight w:val="none"/>
              </w:rPr>
              <w:t>≤</w:t>
            </w:r>
            <w:r>
              <w:rPr>
                <w:rFonts w:hint="eastAsia" w:ascii="宋体" w:hAnsi="宋体" w:eastAsia="宋体" w:cs="宋体"/>
                <w:spacing w:val="-1"/>
                <w:sz w:val="18"/>
                <w:szCs w:val="18"/>
                <w:highlight w:val="none"/>
              </w:rPr>
              <w:t>1</w:t>
            </w:r>
            <w:r>
              <w:rPr>
                <w:rFonts w:hint="eastAsia" w:ascii="宋体" w:hAnsi="宋体" w:eastAsia="宋体" w:cs="宋体"/>
                <w:spacing w:val="-1"/>
                <w:sz w:val="18"/>
                <w:szCs w:val="18"/>
                <w:highlight w:val="none"/>
                <w:lang w:val="en-US" w:eastAsia="zh-CN"/>
              </w:rPr>
              <w:t>6</w:t>
            </w:r>
            <w:r>
              <w:rPr>
                <w:rFonts w:hint="eastAsia" w:ascii="宋体" w:hAnsi="宋体" w:eastAsia="宋体" w:cs="宋体"/>
                <w:spacing w:val="-1"/>
                <w:sz w:val="18"/>
                <w:szCs w:val="18"/>
                <w:highlight w:val="none"/>
              </w:rPr>
              <w:t>0</w:t>
            </w:r>
            <w:r>
              <w:rPr>
                <w:rFonts w:hint="eastAsia" w:ascii="宋体" w:hAnsi="宋体" w:eastAsia="宋体" w:cs="宋体"/>
                <w:sz w:val="18"/>
                <w:szCs w:val="18"/>
                <w:highlight w:val="none"/>
              </w:rPr>
              <w:t>，不超过2处</w:t>
            </w:r>
            <w:bookmarkEnd w:id="159"/>
            <w:bookmarkEnd w:id="160"/>
          </w:p>
        </w:tc>
      </w:tr>
    </w:tbl>
    <w:p w14:paraId="09145195"/>
    <w:p w14:paraId="4409F676">
      <w:pPr>
        <w:widowControl/>
        <w:spacing w:before="156" w:beforeLines="50" w:after="156" w:afterLines="50"/>
        <w:jc w:val="center"/>
        <w:outlineLvl w:val="2"/>
        <w:rPr>
          <w:rFonts w:hint="eastAsia" w:ascii="黑体" w:hAnsi="黑体" w:eastAsia="黑体" w:cs="Times New Roman"/>
          <w:highlight w:val="none"/>
        </w:rPr>
      </w:pPr>
      <w:r>
        <w:rPr>
          <w:rFonts w:ascii="黑体" w:hAnsi="黑体" w:eastAsia="黑体" w:cs="Times New Roman"/>
          <w:highlight w:val="none"/>
        </w:rPr>
        <w:t>表</w:t>
      </w:r>
      <w:r>
        <w:rPr>
          <w:rFonts w:hint="eastAsia" w:ascii="黑体" w:hAnsi="黑体" w:eastAsia="黑体" w:cs="Times New Roman"/>
          <w:highlight w:val="none"/>
        </w:rPr>
        <w:t>4</w:t>
      </w:r>
      <w:r>
        <w:rPr>
          <w:rFonts w:ascii="黑体" w:hAnsi="黑体" w:eastAsia="黑体" w:cs="Times New Roman"/>
          <w:highlight w:val="none"/>
        </w:rPr>
        <w:t xml:space="preserve"> </w:t>
      </w:r>
      <w:r>
        <w:rPr>
          <w:rFonts w:hint="eastAsia" w:ascii="黑体" w:hAnsi="黑体" w:eastAsia="黑体" w:cs="Times New Roman"/>
          <w:highlight w:val="none"/>
        </w:rPr>
        <w:t>制品的尺寸允许偏差及外观质量</w:t>
      </w:r>
      <w:r>
        <w:rPr>
          <w:rFonts w:hint="eastAsia" w:ascii="宋体" w:hAnsi="宋体" w:eastAsia="宋体" w:cs="宋体"/>
          <w:highlight w:val="none"/>
        </w:rPr>
        <w:t>（续）</w:t>
      </w:r>
    </w:p>
    <w:p w14:paraId="3CB52FB0">
      <w:r>
        <w:rPr>
          <w:rFonts w:ascii="宋体" w:hAnsi="宋体" w:eastAsia="宋体" w:cs="Times New Roman"/>
          <w:sz w:val="18"/>
          <w:szCs w:val="20"/>
          <w:highlight w:val="none"/>
        </w:rPr>
        <w:t xml:space="preserve">                                                       </w:t>
      </w:r>
      <w:r>
        <w:rPr>
          <w:rFonts w:hint="eastAsia" w:ascii="宋体" w:hAnsi="宋体" w:eastAsia="宋体" w:cs="Times New Roman"/>
          <w:sz w:val="18"/>
          <w:szCs w:val="20"/>
          <w:highlight w:val="none"/>
        </w:rPr>
        <w:t xml:space="preserve">           </w:t>
      </w:r>
      <w:r>
        <w:rPr>
          <w:rFonts w:ascii="宋体" w:hAnsi="宋体" w:eastAsia="宋体" w:cs="Times New Roman"/>
          <w:sz w:val="18"/>
          <w:szCs w:val="20"/>
          <w:highlight w:val="none"/>
        </w:rPr>
        <w:t xml:space="preserve">   </w:t>
      </w:r>
      <w:r>
        <w:rPr>
          <w:rFonts w:hint="eastAsia" w:ascii="宋体" w:hAnsi="宋体" w:eastAsia="宋体" w:cs="Times New Roman"/>
          <w:sz w:val="18"/>
          <w:szCs w:val="20"/>
          <w:highlight w:val="none"/>
        </w:rPr>
        <w:t xml:space="preserve">                      </w:t>
      </w:r>
      <w:r>
        <w:rPr>
          <w:rFonts w:ascii="宋体" w:hAnsi="宋体" w:eastAsia="宋体" w:cs="Times New Roman"/>
          <w:sz w:val="18"/>
          <w:szCs w:val="20"/>
          <w:highlight w:val="none"/>
        </w:rPr>
        <w:t xml:space="preserve">  单位</w:t>
      </w:r>
      <w:r>
        <w:rPr>
          <w:rFonts w:hint="eastAsia" w:ascii="宋体" w:hAnsi="宋体" w:eastAsia="宋体" w:cs="Times New Roman"/>
          <w:sz w:val="18"/>
          <w:szCs w:val="20"/>
          <w:highlight w:val="none"/>
        </w:rPr>
        <w:t>为毫米</w:t>
      </w:r>
    </w:p>
    <w:tbl>
      <w:tblPr>
        <w:tblStyle w:val="12"/>
        <w:tblW w:w="0" w:type="auto"/>
        <w:jc w:val="center"/>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048"/>
        <w:gridCol w:w="1690"/>
        <w:gridCol w:w="2602"/>
        <w:gridCol w:w="2613"/>
      </w:tblGrid>
      <w:tr w14:paraId="6A0B7F8F">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119" w:type="dxa"/>
            <w:gridSpan w:val="3"/>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2E2547F7">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sz w:val="18"/>
                <w:szCs w:val="18"/>
                <w:highlight w:val="none"/>
              </w:rPr>
            </w:pPr>
            <w:r>
              <w:rPr>
                <w:rFonts w:hint="default" w:ascii="Times New Roman" w:hAnsi="Times New Roman" w:eastAsia="宋体"/>
                <w:sz w:val="18"/>
                <w:szCs w:val="18"/>
                <w:highlight w:val="none"/>
              </w:rPr>
              <w:t>项目</w:t>
            </w:r>
          </w:p>
        </w:tc>
        <w:tc>
          <w:tcPr>
            <w:tcW w:w="5215" w:type="dxa"/>
            <w:gridSpan w:val="2"/>
            <w:tcBorders>
              <w:top w:val="single" w:color="000000" w:sz="8" w:space="0"/>
              <w:left w:val="single" w:color="000000" w:sz="4" w:space="0"/>
              <w:bottom w:val="single" w:color="000000" w:sz="4" w:space="0"/>
              <w:right w:val="single" w:color="000000" w:sz="8" w:space="0"/>
            </w:tcBorders>
            <w:shd w:val="clear" w:color="auto" w:fill="auto"/>
            <w:vAlign w:val="center"/>
          </w:tcPr>
          <w:p w14:paraId="69A46586">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sz w:val="18"/>
                <w:szCs w:val="18"/>
                <w:highlight w:val="none"/>
              </w:rPr>
              <w:t>指标</w:t>
            </w:r>
          </w:p>
        </w:tc>
      </w:tr>
      <w:tr w14:paraId="75FDBB34">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119" w:type="dxa"/>
            <w:gridSpan w:val="3"/>
            <w:vMerge w:val="continue"/>
            <w:tcBorders>
              <w:top w:val="single" w:color="000000" w:sz="4" w:space="0"/>
              <w:left w:val="single" w:color="000000" w:sz="8" w:space="0"/>
              <w:bottom w:val="single" w:color="000000" w:sz="8" w:space="0"/>
              <w:right w:val="single" w:color="000000" w:sz="4" w:space="0"/>
            </w:tcBorders>
            <w:vAlign w:val="center"/>
          </w:tcPr>
          <w:p w14:paraId="7EEE28B3">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sz w:val="18"/>
                <w:szCs w:val="18"/>
                <w:highlight w:val="none"/>
              </w:rPr>
            </w:pPr>
          </w:p>
        </w:tc>
        <w:tc>
          <w:tcPr>
            <w:tcW w:w="2602" w:type="dxa"/>
            <w:tcBorders>
              <w:top w:val="single" w:color="000000" w:sz="4" w:space="0"/>
              <w:left w:val="single" w:color="000000" w:sz="4" w:space="0"/>
              <w:bottom w:val="single" w:color="000000" w:sz="8" w:space="0"/>
              <w:right w:val="single" w:color="000000" w:sz="4" w:space="0"/>
            </w:tcBorders>
            <w:shd w:val="clear" w:color="auto" w:fill="auto"/>
            <w:vAlign w:val="center"/>
          </w:tcPr>
          <w:p w14:paraId="1FC4AB27">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sz w:val="18"/>
                <w:szCs w:val="18"/>
                <w:highlight w:val="none"/>
              </w:rPr>
              <w:t>粗加工面</w:t>
            </w:r>
          </w:p>
        </w:tc>
        <w:tc>
          <w:tcPr>
            <w:tcW w:w="2613" w:type="dxa"/>
            <w:tcBorders>
              <w:top w:val="single" w:color="000000" w:sz="4" w:space="0"/>
              <w:left w:val="single" w:color="000000" w:sz="4" w:space="0"/>
              <w:bottom w:val="single" w:color="000000" w:sz="8" w:space="0"/>
              <w:right w:val="single" w:color="000000" w:sz="8" w:space="0"/>
            </w:tcBorders>
            <w:shd w:val="clear" w:color="auto" w:fill="auto"/>
            <w:vAlign w:val="center"/>
          </w:tcPr>
          <w:p w14:paraId="63183827">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sz w:val="18"/>
                <w:szCs w:val="18"/>
                <w:highlight w:val="none"/>
              </w:rPr>
              <w:t>精加工面</w:t>
            </w:r>
          </w:p>
        </w:tc>
      </w:tr>
      <w:tr w14:paraId="6FD584D1">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429" w:type="dxa"/>
            <w:gridSpan w:val="2"/>
            <w:vMerge w:val="restart"/>
            <w:tcBorders>
              <w:top w:val="single" w:color="000000" w:sz="8" w:space="0"/>
              <w:left w:val="single" w:color="000000" w:sz="8" w:space="0"/>
              <w:right w:val="single" w:color="000000" w:sz="4" w:space="0"/>
            </w:tcBorders>
            <w:shd w:val="clear" w:color="auto" w:fill="auto"/>
            <w:vAlign w:val="center"/>
          </w:tcPr>
          <w:p w14:paraId="6A41C560">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sz w:val="18"/>
                <w:szCs w:val="18"/>
                <w:highlight w:val="none"/>
              </w:rPr>
              <w:t>缺棱</w:t>
            </w:r>
            <w:r>
              <w:rPr>
                <w:rFonts w:hint="eastAsia" w:ascii="Times New Roman" w:hAnsi="Times New Roman" w:eastAsia="宋体" w:cs="宋体"/>
                <w:sz w:val="18"/>
                <w:szCs w:val="18"/>
                <w:highlight w:val="none"/>
              </w:rPr>
              <w:t>（</w:t>
            </w:r>
            <w:r>
              <w:rPr>
                <w:rFonts w:hint="eastAsia" w:ascii="Times New Roman" w:hAnsi="Times New Roman" w:eastAsia="宋体" w:cs="宋体"/>
                <w:i/>
                <w:iCs/>
                <w:sz w:val="18"/>
                <w:szCs w:val="18"/>
                <w:highlight w:val="none"/>
              </w:rPr>
              <w:t>e+f+g</w:t>
            </w:r>
            <w:r>
              <w:rPr>
                <w:rFonts w:hint="eastAsia" w:ascii="Times New Roman" w:hAnsi="Times New Roman" w:eastAsia="宋体" w:cs="宋体"/>
                <w:sz w:val="18"/>
                <w:szCs w:val="18"/>
                <w:highlight w:val="none"/>
              </w:rPr>
              <w:t>）</w:t>
            </w:r>
          </w:p>
        </w:tc>
        <w:tc>
          <w:tcPr>
            <w:tcW w:w="169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701119EA">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sz w:val="18"/>
                <w:szCs w:val="18"/>
                <w:highlight w:val="none"/>
              </w:rPr>
              <w:t>工作面</w:t>
            </w:r>
          </w:p>
        </w:tc>
        <w:tc>
          <w:tcPr>
            <w:tcW w:w="5215" w:type="dxa"/>
            <w:gridSpan w:val="2"/>
            <w:tcBorders>
              <w:top w:val="single" w:color="000000" w:sz="8" w:space="0"/>
              <w:left w:val="single" w:color="000000" w:sz="4" w:space="0"/>
              <w:bottom w:val="single" w:color="000000" w:sz="4" w:space="0"/>
              <w:right w:val="single" w:color="000000" w:sz="8" w:space="0"/>
            </w:tcBorders>
            <w:shd w:val="clear" w:color="auto" w:fill="auto"/>
            <w:vAlign w:val="center"/>
          </w:tcPr>
          <w:p w14:paraId="2026E753">
            <w:pPr>
              <w:pStyle w:val="22"/>
              <w:keepNext w:val="0"/>
              <w:keepLines w:val="0"/>
              <w:widowControl/>
              <w:numPr>
                <w:ilvl w:val="1"/>
                <w:numId w:val="0"/>
              </w:numPr>
              <w:suppressLineNumbers w:val="0"/>
              <w:spacing w:before="0" w:beforeLines="0" w:beforeAutospacing="0" w:after="0" w:afterLines="0" w:afterAutospacing="0"/>
              <w:ind w:left="0" w:leftChars="0" w:right="0" w:rightChars="0" w:firstLine="0" w:firstLineChars="0"/>
              <w:jc w:val="center"/>
              <w:rPr>
                <w:rFonts w:hint="default" w:ascii="Times New Roman" w:hAnsi="Times New Roman" w:eastAsia="宋体" w:cs="Times New Roman"/>
                <w:sz w:val="18"/>
                <w:szCs w:val="18"/>
                <w:highlight w:val="none"/>
                <w:lang w:val="en-US" w:eastAsia="zh-CN" w:bidi="ar-SA"/>
              </w:rPr>
            </w:pPr>
            <w:r>
              <w:rPr>
                <w:rFonts w:hint="default" w:ascii="Times New Roman" w:hAnsi="Times New Roman" w:eastAsia="宋体"/>
                <w:i/>
                <w:iCs/>
                <w:sz w:val="18"/>
                <w:szCs w:val="18"/>
                <w:highlight w:val="none"/>
              </w:rPr>
              <w:t>e+f</w:t>
            </w:r>
            <w:r>
              <w:rPr>
                <w:rFonts w:hint="eastAsia" w:ascii="Times New Roman" w:hAnsi="Times New Roman" w:eastAsia="宋体"/>
                <w:i/>
                <w:iCs/>
                <w:sz w:val="18"/>
                <w:szCs w:val="18"/>
                <w:highlight w:val="none"/>
              </w:rPr>
              <w:t xml:space="preserve"> </w:t>
            </w:r>
            <w:r>
              <w:rPr>
                <w:rFonts w:hint="eastAsia" w:ascii="宋体" w:hAnsi="宋体" w:eastAsia="宋体" w:cs="宋体"/>
                <w:sz w:val="18"/>
                <w:szCs w:val="18"/>
                <w:highlight w:val="none"/>
              </w:rPr>
              <w:t>≤30，</w:t>
            </w:r>
            <w:r>
              <w:rPr>
                <w:rFonts w:hint="default" w:ascii="Times New Roman" w:hAnsi="Times New Roman" w:eastAsia="宋体"/>
                <w:i/>
                <w:iCs/>
                <w:sz w:val="18"/>
                <w:szCs w:val="18"/>
                <w:highlight w:val="none"/>
              </w:rPr>
              <w:t>g</w:t>
            </w:r>
            <w:r>
              <w:rPr>
                <w:rFonts w:hint="eastAsia" w:ascii="宋体" w:hAnsi="宋体" w:eastAsia="宋体" w:cs="宋体"/>
                <w:sz w:val="18"/>
                <w:szCs w:val="18"/>
                <w:highlight w:val="none"/>
              </w:rPr>
              <w:t>不超过棱长的1/4，不超过2处</w:t>
            </w:r>
          </w:p>
        </w:tc>
      </w:tr>
      <w:tr w14:paraId="2C54D2C5">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429" w:type="dxa"/>
            <w:gridSpan w:val="2"/>
            <w:vMerge w:val="continue"/>
            <w:tcBorders>
              <w:left w:val="single" w:color="000000" w:sz="8" w:space="0"/>
              <w:bottom w:val="single" w:color="000000" w:sz="4" w:space="0"/>
              <w:right w:val="single" w:color="000000" w:sz="4" w:space="0"/>
            </w:tcBorders>
            <w:vAlign w:val="center"/>
          </w:tcPr>
          <w:p w14:paraId="52F7511C">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0385">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61" w:name="_Toc11961"/>
            <w:r>
              <w:rPr>
                <w:rFonts w:hint="default" w:ascii="Times New Roman" w:hAnsi="Times New Roman" w:eastAsia="宋体"/>
                <w:sz w:val="18"/>
                <w:szCs w:val="18"/>
                <w:highlight w:val="none"/>
              </w:rPr>
              <w:t>非工作面</w:t>
            </w:r>
            <w:bookmarkEnd w:id="161"/>
          </w:p>
        </w:tc>
        <w:tc>
          <w:tcPr>
            <w:tcW w:w="5215" w:type="dxa"/>
            <w:gridSpan w:val="2"/>
            <w:tcBorders>
              <w:top w:val="single" w:color="000000" w:sz="4" w:space="0"/>
              <w:left w:val="single" w:color="000000" w:sz="4" w:space="0"/>
              <w:bottom w:val="single" w:color="000000" w:sz="4" w:space="0"/>
              <w:right w:val="single" w:color="000000" w:sz="8" w:space="0"/>
            </w:tcBorders>
            <w:shd w:val="clear" w:color="auto" w:fill="auto"/>
            <w:vAlign w:val="center"/>
          </w:tcPr>
          <w:p w14:paraId="50B31F37">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62" w:name="_Toc9231"/>
            <w:r>
              <w:rPr>
                <w:rFonts w:hint="default" w:ascii="Times New Roman" w:hAnsi="Times New Roman" w:eastAsia="宋体"/>
                <w:i/>
                <w:iCs/>
                <w:spacing w:val="-1"/>
                <w:sz w:val="18"/>
                <w:szCs w:val="18"/>
                <w:highlight w:val="none"/>
              </w:rPr>
              <w:t>e+f</w:t>
            </w:r>
            <w:r>
              <w:rPr>
                <w:rFonts w:hint="eastAsia" w:ascii="Times New Roman" w:hAnsi="Times New Roman" w:eastAsia="宋体"/>
                <w:i/>
                <w:iCs/>
                <w:spacing w:val="-1"/>
                <w:sz w:val="18"/>
                <w:szCs w:val="18"/>
                <w:highlight w:val="none"/>
              </w:rPr>
              <w:t xml:space="preserve"> </w:t>
            </w:r>
            <w:r>
              <w:rPr>
                <w:rFonts w:hint="eastAsia" w:ascii="宋体" w:hAnsi="宋体" w:eastAsia="宋体" w:cs="宋体"/>
                <w:sz w:val="18"/>
                <w:szCs w:val="18"/>
                <w:highlight w:val="none"/>
              </w:rPr>
              <w:t>≤</w:t>
            </w:r>
            <w:r>
              <w:rPr>
                <w:rFonts w:hint="eastAsia" w:ascii="宋体" w:hAnsi="宋体" w:eastAsia="宋体" w:cs="宋体"/>
                <w:spacing w:val="-1"/>
                <w:sz w:val="18"/>
                <w:szCs w:val="18"/>
                <w:highlight w:val="none"/>
              </w:rPr>
              <w:t>50，</w:t>
            </w:r>
            <w:r>
              <w:rPr>
                <w:rFonts w:hint="default" w:ascii="Times New Roman" w:hAnsi="Times New Roman" w:eastAsia="宋体"/>
                <w:i/>
                <w:iCs/>
                <w:spacing w:val="-1"/>
                <w:sz w:val="18"/>
                <w:szCs w:val="18"/>
                <w:highlight w:val="none"/>
              </w:rPr>
              <w:t>g</w:t>
            </w:r>
            <w:r>
              <w:rPr>
                <w:rFonts w:hint="eastAsia" w:ascii="宋体" w:hAnsi="宋体" w:eastAsia="宋体" w:cs="宋体"/>
                <w:spacing w:val="-1"/>
                <w:sz w:val="18"/>
                <w:szCs w:val="18"/>
                <w:highlight w:val="none"/>
              </w:rPr>
              <w:t>不超过棱长</w:t>
            </w:r>
            <w:r>
              <w:rPr>
                <w:rFonts w:hint="eastAsia" w:ascii="宋体" w:hAnsi="宋体" w:eastAsia="宋体" w:cs="宋体"/>
                <w:sz w:val="18"/>
                <w:szCs w:val="18"/>
                <w:highlight w:val="none"/>
              </w:rPr>
              <w:t>的</w:t>
            </w:r>
            <w:r>
              <w:rPr>
                <w:rFonts w:hint="eastAsia" w:ascii="宋体" w:hAnsi="宋体" w:eastAsia="宋体" w:cs="宋体"/>
                <w:spacing w:val="-1"/>
                <w:sz w:val="18"/>
                <w:szCs w:val="18"/>
                <w:highlight w:val="none"/>
              </w:rPr>
              <w:t>1/3，</w:t>
            </w:r>
            <w:r>
              <w:rPr>
                <w:rFonts w:hint="eastAsia" w:ascii="宋体" w:hAnsi="宋体" w:eastAsia="宋体" w:cs="宋体"/>
                <w:sz w:val="18"/>
                <w:szCs w:val="18"/>
                <w:highlight w:val="none"/>
              </w:rPr>
              <w:t>不超过2处</w:t>
            </w:r>
            <w:bookmarkEnd w:id="162"/>
          </w:p>
        </w:tc>
      </w:tr>
      <w:tr w14:paraId="08EDD3B3">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restart"/>
            <w:tcBorders>
              <w:top w:val="single" w:color="auto" w:sz="4" w:space="0"/>
              <w:left w:val="single" w:color="auto" w:sz="8" w:space="0"/>
              <w:bottom w:val="nil"/>
              <w:right w:val="single" w:color="auto" w:sz="4" w:space="0"/>
            </w:tcBorders>
            <w:vAlign w:val="center"/>
          </w:tcPr>
          <w:p w14:paraId="172616BC">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63" w:name="_Toc31288"/>
            <w:r>
              <w:rPr>
                <w:rFonts w:hint="default" w:ascii="Times New Roman" w:hAnsi="Times New Roman" w:eastAsia="宋体"/>
                <w:sz w:val="18"/>
                <w:szCs w:val="18"/>
                <w:highlight w:val="none"/>
              </w:rPr>
              <w:t>裂纹</w:t>
            </w:r>
            <w:bookmarkEnd w:id="163"/>
          </w:p>
        </w:tc>
        <w:tc>
          <w:tcPr>
            <w:tcW w:w="1048" w:type="dxa"/>
            <w:vMerge w:val="restart"/>
            <w:tcBorders>
              <w:top w:val="single" w:color="auto" w:sz="4" w:space="0"/>
              <w:left w:val="single" w:color="auto" w:sz="4" w:space="0"/>
              <w:bottom w:val="single" w:color="auto" w:sz="4" w:space="0"/>
              <w:right w:val="single" w:color="auto" w:sz="4" w:space="0"/>
            </w:tcBorders>
            <w:vAlign w:val="center"/>
          </w:tcPr>
          <w:p w14:paraId="1D39D63A">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64" w:name="_Toc7984"/>
            <w:r>
              <w:rPr>
                <w:rFonts w:hint="default" w:ascii="Times New Roman" w:hAnsi="Times New Roman" w:eastAsia="宋体"/>
                <w:sz w:val="18"/>
                <w:szCs w:val="18"/>
                <w:highlight w:val="none"/>
              </w:rPr>
              <w:t>工作面</w:t>
            </w:r>
            <w:bookmarkEnd w:id="164"/>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E356A96">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65" w:name="_Toc7199"/>
            <w:r>
              <w:rPr>
                <w:rFonts w:hint="default" w:ascii="Times New Roman" w:hAnsi="Times New Roman" w:eastAsia="宋体"/>
                <w:sz w:val="18"/>
                <w:szCs w:val="18"/>
                <w:highlight w:val="none"/>
              </w:rPr>
              <w:t>宽度</w:t>
            </w:r>
            <w:r>
              <w:rPr>
                <w:rFonts w:hint="eastAsia" w:ascii="Times New Roman" w:hAnsi="Times New Roman" w:eastAsia="宋体"/>
                <w:sz w:val="18"/>
                <w:szCs w:val="18"/>
                <w:highlight w:val="none"/>
              </w:rPr>
              <w:t>≤</w:t>
            </w:r>
            <w:r>
              <w:rPr>
                <w:rFonts w:hint="eastAsia" w:ascii="宋体" w:hAnsi="宋体" w:eastAsia="宋体" w:cs="宋体"/>
                <w:sz w:val="18"/>
                <w:szCs w:val="18"/>
                <w:highlight w:val="none"/>
              </w:rPr>
              <w:t>0.5</w:t>
            </w:r>
            <w:bookmarkEnd w:id="165"/>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76CED912">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66" w:name="_Toc31549"/>
            <w:r>
              <w:rPr>
                <w:rFonts w:hint="default" w:ascii="Times New Roman" w:hAnsi="Times New Roman" w:eastAsia="宋体"/>
                <w:spacing w:val="-1"/>
                <w:sz w:val="18"/>
                <w:szCs w:val="18"/>
                <w:highlight w:val="none"/>
              </w:rPr>
              <w:t>长度</w:t>
            </w:r>
            <w:r>
              <w:rPr>
                <w:rFonts w:hint="eastAsia" w:ascii="Times New Roman" w:hAnsi="Times New Roman" w:eastAsia="宋体"/>
                <w:spacing w:val="-1"/>
                <w:sz w:val="18"/>
                <w:szCs w:val="18"/>
                <w:highlight w:val="none"/>
                <w:lang w:eastAsia="zh-CN"/>
              </w:rPr>
              <w:t>≥</w:t>
            </w:r>
            <w:r>
              <w:rPr>
                <w:rFonts w:hint="default" w:ascii="Times New Roman" w:hAnsi="Times New Roman" w:eastAsia="宋体"/>
                <w:spacing w:val="-1"/>
                <w:sz w:val="18"/>
                <w:szCs w:val="18"/>
                <w:highlight w:val="none"/>
              </w:rPr>
              <w:t>面宽度</w:t>
            </w:r>
            <w:r>
              <w:rPr>
                <w:rFonts w:hint="eastAsia" w:ascii="Times New Roman" w:hAnsi="Times New Roman" w:eastAsia="宋体"/>
                <w:spacing w:val="-1"/>
                <w:sz w:val="18"/>
                <w:szCs w:val="18"/>
                <w:highlight w:val="none"/>
              </w:rPr>
              <w:t>的</w:t>
            </w:r>
            <w:r>
              <w:rPr>
                <w:rFonts w:hint="eastAsia" w:ascii="宋体" w:hAnsi="宋体" w:eastAsia="宋体" w:cs="宋体"/>
                <w:sz w:val="18"/>
                <w:szCs w:val="18"/>
                <w:highlight w:val="none"/>
              </w:rPr>
              <w:t>1/2</w:t>
            </w:r>
            <w:r>
              <w:rPr>
                <w:rFonts w:hint="eastAsia" w:ascii="Times New Roman" w:hAnsi="Times New Roman" w:eastAsia="宋体"/>
                <w:spacing w:val="-1"/>
                <w:sz w:val="18"/>
                <w:szCs w:val="18"/>
                <w:highlight w:val="none"/>
              </w:rPr>
              <w:t>，</w:t>
            </w:r>
            <w:r>
              <w:rPr>
                <w:rFonts w:hint="eastAsia" w:ascii="宋体" w:hAnsi="宋体" w:eastAsia="宋体" w:cs="宋体"/>
                <w:sz w:val="18"/>
                <w:szCs w:val="18"/>
                <w:highlight w:val="none"/>
              </w:rPr>
              <w:t>不准许</w:t>
            </w:r>
            <w:bookmarkEnd w:id="166"/>
          </w:p>
        </w:tc>
      </w:tr>
      <w:tr w14:paraId="58A9F0FC">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nil"/>
              <w:left w:val="single" w:color="auto" w:sz="8" w:space="0"/>
              <w:bottom w:val="nil"/>
              <w:right w:val="single" w:color="auto" w:sz="4" w:space="0"/>
            </w:tcBorders>
            <w:vAlign w:val="center"/>
          </w:tcPr>
          <w:p w14:paraId="79D74ED9">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048" w:type="dxa"/>
            <w:vMerge w:val="continue"/>
            <w:tcBorders>
              <w:top w:val="single" w:color="auto" w:sz="4" w:space="0"/>
              <w:left w:val="single" w:color="auto" w:sz="4" w:space="0"/>
              <w:bottom w:val="single" w:color="auto" w:sz="4" w:space="0"/>
              <w:right w:val="single" w:color="auto" w:sz="4" w:space="0"/>
            </w:tcBorders>
            <w:vAlign w:val="center"/>
          </w:tcPr>
          <w:p w14:paraId="49DE2185">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726F2C6">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eastAsia" w:ascii="Times New Roman" w:hAnsi="Times New Roman" w:eastAsia="宋体" w:cs="Times New Roman"/>
                <w:sz w:val="18"/>
                <w:szCs w:val="18"/>
                <w:highlight w:val="none"/>
                <w:lang w:val="en-US" w:eastAsia="zh-CN" w:bidi="ar-SA"/>
              </w:rPr>
            </w:pPr>
            <w:bookmarkStart w:id="167" w:name="_Toc20438"/>
            <w:r>
              <w:rPr>
                <w:rFonts w:hint="eastAsia" w:ascii="宋体" w:hAnsi="宋体" w:eastAsia="宋体" w:cs="宋体"/>
                <w:sz w:val="18"/>
                <w:szCs w:val="18"/>
                <w:highlight w:val="none"/>
              </w:rPr>
              <w:t>0.5</w:t>
            </w:r>
            <w:r>
              <w:rPr>
                <w:rFonts w:hint="eastAsia" w:ascii="Times New Roman" w:hAnsi="Times New Roman" w:eastAsia="宋体"/>
                <w:sz w:val="18"/>
                <w:szCs w:val="18"/>
                <w:highlight w:val="none"/>
              </w:rPr>
              <w:t>＜</w:t>
            </w:r>
            <w:r>
              <w:rPr>
                <w:rFonts w:hint="default" w:ascii="Times New Roman" w:hAnsi="Times New Roman" w:eastAsia="宋体"/>
                <w:sz w:val="18"/>
                <w:szCs w:val="18"/>
                <w:highlight w:val="none"/>
              </w:rPr>
              <w:t>宽度</w:t>
            </w:r>
            <w:r>
              <w:rPr>
                <w:rFonts w:hint="eastAsia" w:ascii="Times New Roman" w:hAnsi="Times New Roman" w:eastAsia="宋体"/>
                <w:sz w:val="18"/>
                <w:szCs w:val="18"/>
                <w:highlight w:val="none"/>
              </w:rPr>
              <w:t>≤</w:t>
            </w:r>
            <w:bookmarkEnd w:id="167"/>
            <w:r>
              <w:rPr>
                <w:rFonts w:hint="eastAsia" w:ascii="宋体" w:hAnsi="宋体" w:eastAsia="宋体" w:cs="宋体"/>
                <w:sz w:val="18"/>
                <w:szCs w:val="18"/>
                <w:highlight w:val="none"/>
                <w:lang w:val="en-US" w:eastAsia="zh-CN"/>
              </w:rPr>
              <w:t>1</w:t>
            </w:r>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058D0482">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68" w:name="_Toc24862"/>
            <w:r>
              <w:rPr>
                <w:rFonts w:hint="default" w:ascii="Times New Roman" w:hAnsi="Times New Roman" w:eastAsia="宋体"/>
                <w:spacing w:val="-1"/>
                <w:sz w:val="18"/>
                <w:szCs w:val="18"/>
                <w:highlight w:val="none"/>
              </w:rPr>
              <w:t>长度</w:t>
            </w:r>
            <w:r>
              <w:rPr>
                <w:rFonts w:hint="eastAsia" w:ascii="Times New Roman" w:hAnsi="Times New Roman" w:eastAsia="宋体"/>
                <w:spacing w:val="-1"/>
                <w:sz w:val="18"/>
                <w:szCs w:val="18"/>
                <w:highlight w:val="none"/>
                <w:lang w:eastAsia="zh-CN"/>
              </w:rPr>
              <w:t>≥</w:t>
            </w:r>
            <w:r>
              <w:rPr>
                <w:rFonts w:hint="eastAsia" w:ascii="宋体" w:hAnsi="宋体" w:eastAsia="宋体" w:cs="宋体"/>
                <w:sz w:val="18"/>
                <w:szCs w:val="18"/>
                <w:highlight w:val="none"/>
              </w:rPr>
              <w:t>30</w:t>
            </w:r>
            <w:r>
              <w:rPr>
                <w:rFonts w:hint="eastAsia" w:ascii="Times New Roman" w:hAnsi="Times New Roman" w:eastAsia="宋体"/>
                <w:spacing w:val="-1"/>
                <w:sz w:val="18"/>
                <w:szCs w:val="18"/>
                <w:highlight w:val="none"/>
              </w:rPr>
              <w:t>，</w:t>
            </w:r>
            <w:r>
              <w:rPr>
                <w:rFonts w:hint="eastAsia" w:ascii="宋体" w:hAnsi="宋体" w:eastAsia="宋体" w:cs="宋体"/>
                <w:sz w:val="18"/>
                <w:szCs w:val="18"/>
                <w:highlight w:val="none"/>
              </w:rPr>
              <w:t>不准许</w:t>
            </w:r>
            <w:bookmarkEnd w:id="168"/>
          </w:p>
        </w:tc>
      </w:tr>
      <w:tr w14:paraId="470EF096">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nil"/>
              <w:left w:val="single" w:color="auto" w:sz="8" w:space="0"/>
              <w:bottom w:val="nil"/>
              <w:right w:val="single" w:color="auto" w:sz="4" w:space="0"/>
            </w:tcBorders>
            <w:vAlign w:val="center"/>
          </w:tcPr>
          <w:p w14:paraId="31BFA1AD">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048" w:type="dxa"/>
            <w:vMerge w:val="continue"/>
            <w:tcBorders>
              <w:top w:val="single" w:color="auto" w:sz="4" w:space="0"/>
              <w:left w:val="single" w:color="auto" w:sz="4" w:space="0"/>
              <w:bottom w:val="single" w:color="auto" w:sz="4" w:space="0"/>
              <w:right w:val="single" w:color="auto" w:sz="4" w:space="0"/>
            </w:tcBorders>
            <w:vAlign w:val="center"/>
          </w:tcPr>
          <w:p w14:paraId="06D6D2BF">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5D751E">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eastAsia" w:ascii="Times New Roman" w:hAnsi="Times New Roman" w:eastAsia="宋体" w:cs="Times New Roman"/>
                <w:sz w:val="18"/>
                <w:szCs w:val="18"/>
                <w:highlight w:val="none"/>
                <w:lang w:val="en-US" w:eastAsia="zh-CN" w:bidi="ar-SA"/>
              </w:rPr>
            </w:pPr>
            <w:bookmarkStart w:id="169" w:name="_Toc4413"/>
            <w:r>
              <w:rPr>
                <w:rFonts w:hint="default" w:ascii="Times New Roman" w:hAnsi="Times New Roman" w:eastAsia="宋体"/>
                <w:sz w:val="18"/>
                <w:szCs w:val="18"/>
                <w:highlight w:val="none"/>
              </w:rPr>
              <w:t>宽度＞</w:t>
            </w:r>
            <w:bookmarkEnd w:id="169"/>
            <w:r>
              <w:rPr>
                <w:rFonts w:hint="eastAsia" w:ascii="宋体" w:hAnsi="宋体" w:eastAsia="宋体" w:cs="宋体"/>
                <w:sz w:val="18"/>
                <w:szCs w:val="18"/>
                <w:highlight w:val="none"/>
                <w:lang w:val="en-US" w:eastAsia="zh-CN"/>
              </w:rPr>
              <w:t>1</w:t>
            </w:r>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04DB4885">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0" w:name="_Toc24936"/>
            <w:r>
              <w:rPr>
                <w:rFonts w:hint="eastAsia" w:ascii="宋体" w:hAnsi="宋体" w:eastAsia="宋体" w:cs="宋体"/>
                <w:sz w:val="18"/>
                <w:szCs w:val="18"/>
                <w:highlight w:val="none"/>
              </w:rPr>
              <w:t>不准许</w:t>
            </w:r>
            <w:bookmarkEnd w:id="170"/>
          </w:p>
        </w:tc>
      </w:tr>
      <w:tr w14:paraId="1187CFF9">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nil"/>
              <w:left w:val="single" w:color="auto" w:sz="8" w:space="0"/>
              <w:bottom w:val="nil"/>
              <w:right w:val="single" w:color="auto" w:sz="4" w:space="0"/>
            </w:tcBorders>
            <w:vAlign w:val="center"/>
          </w:tcPr>
          <w:p w14:paraId="5945A338">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048" w:type="dxa"/>
            <w:vMerge w:val="restart"/>
            <w:tcBorders>
              <w:top w:val="single" w:color="auto" w:sz="4" w:space="0"/>
              <w:left w:val="single" w:color="auto" w:sz="4" w:space="0"/>
              <w:bottom w:val="single" w:color="auto" w:sz="4" w:space="0"/>
              <w:right w:val="single" w:color="auto" w:sz="4" w:space="0"/>
            </w:tcBorders>
            <w:vAlign w:val="center"/>
          </w:tcPr>
          <w:p w14:paraId="62485BD1">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bookmarkStart w:id="171" w:name="_Toc27139"/>
            <w:r>
              <w:rPr>
                <w:rFonts w:hint="default" w:ascii="Times New Roman" w:hAnsi="Times New Roman" w:eastAsia="宋体"/>
                <w:sz w:val="18"/>
                <w:szCs w:val="18"/>
                <w:highlight w:val="none"/>
              </w:rPr>
              <w:t>非工作面</w:t>
            </w:r>
            <w:bookmarkEnd w:id="171"/>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3957E31">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2" w:name="_Toc21712"/>
            <w:r>
              <w:rPr>
                <w:rFonts w:hint="default" w:ascii="Times New Roman" w:hAnsi="Times New Roman" w:eastAsia="宋体"/>
                <w:sz w:val="18"/>
                <w:szCs w:val="18"/>
                <w:highlight w:val="none"/>
              </w:rPr>
              <w:t>宽度</w:t>
            </w:r>
            <w:r>
              <w:rPr>
                <w:rFonts w:hint="eastAsia" w:ascii="Times New Roman" w:hAnsi="Times New Roman" w:eastAsia="宋体"/>
                <w:sz w:val="18"/>
                <w:szCs w:val="18"/>
                <w:highlight w:val="none"/>
              </w:rPr>
              <w:t>≤</w:t>
            </w:r>
            <w:r>
              <w:rPr>
                <w:rFonts w:hint="eastAsia" w:ascii="宋体" w:hAnsi="宋体" w:eastAsia="宋体" w:cs="宋体"/>
                <w:sz w:val="18"/>
                <w:szCs w:val="18"/>
                <w:highlight w:val="none"/>
              </w:rPr>
              <w:t>1</w:t>
            </w:r>
            <w:bookmarkEnd w:id="172"/>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0CB0801D">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3" w:name="_Toc30398"/>
            <w:r>
              <w:rPr>
                <w:rFonts w:hint="default" w:ascii="Times New Roman" w:hAnsi="Times New Roman" w:eastAsia="宋体"/>
                <w:spacing w:val="-1"/>
                <w:sz w:val="18"/>
                <w:szCs w:val="18"/>
                <w:highlight w:val="none"/>
              </w:rPr>
              <w:t>长度</w:t>
            </w:r>
            <w:r>
              <w:rPr>
                <w:rFonts w:hint="eastAsia" w:ascii="Times New Roman" w:hAnsi="Times New Roman" w:eastAsia="宋体"/>
                <w:spacing w:val="-1"/>
                <w:sz w:val="18"/>
                <w:szCs w:val="18"/>
                <w:highlight w:val="none"/>
                <w:lang w:eastAsia="zh-CN"/>
              </w:rPr>
              <w:t>≥</w:t>
            </w:r>
            <w:r>
              <w:rPr>
                <w:rFonts w:hint="default" w:ascii="Times New Roman" w:hAnsi="Times New Roman" w:eastAsia="宋体"/>
                <w:spacing w:val="-1"/>
                <w:sz w:val="18"/>
                <w:szCs w:val="18"/>
                <w:highlight w:val="none"/>
              </w:rPr>
              <w:t>面宽度</w:t>
            </w:r>
            <w:r>
              <w:rPr>
                <w:rFonts w:hint="eastAsia" w:ascii="Times New Roman" w:hAnsi="Times New Roman" w:eastAsia="宋体"/>
                <w:spacing w:val="-1"/>
                <w:sz w:val="18"/>
                <w:szCs w:val="18"/>
                <w:highlight w:val="none"/>
              </w:rPr>
              <w:t>的</w:t>
            </w:r>
            <w:r>
              <w:rPr>
                <w:rFonts w:hint="eastAsia" w:ascii="宋体" w:hAnsi="宋体" w:eastAsia="宋体" w:cs="宋体"/>
                <w:sz w:val="18"/>
                <w:szCs w:val="18"/>
                <w:highlight w:val="none"/>
              </w:rPr>
              <w:t>1/2</w:t>
            </w:r>
            <w:r>
              <w:rPr>
                <w:rFonts w:hint="eastAsia" w:ascii="Times New Roman" w:hAnsi="Times New Roman" w:eastAsia="宋体"/>
                <w:spacing w:val="-1"/>
                <w:sz w:val="18"/>
                <w:szCs w:val="18"/>
                <w:highlight w:val="none"/>
              </w:rPr>
              <w:t>，</w:t>
            </w:r>
            <w:r>
              <w:rPr>
                <w:rFonts w:hint="eastAsia" w:ascii="宋体" w:hAnsi="宋体" w:eastAsia="宋体" w:cs="宋体"/>
                <w:sz w:val="18"/>
                <w:szCs w:val="18"/>
                <w:highlight w:val="none"/>
              </w:rPr>
              <w:t>不准许</w:t>
            </w:r>
            <w:bookmarkEnd w:id="173"/>
          </w:p>
        </w:tc>
      </w:tr>
      <w:tr w14:paraId="47E7EE04">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nil"/>
              <w:left w:val="single" w:color="auto" w:sz="8" w:space="0"/>
              <w:bottom w:val="nil"/>
              <w:right w:val="single" w:color="auto" w:sz="4" w:space="0"/>
            </w:tcBorders>
            <w:vAlign w:val="center"/>
          </w:tcPr>
          <w:p w14:paraId="3B0CC505">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048" w:type="dxa"/>
            <w:vMerge w:val="continue"/>
            <w:tcBorders>
              <w:top w:val="single" w:color="auto" w:sz="4" w:space="0"/>
              <w:left w:val="single" w:color="auto" w:sz="4" w:space="0"/>
              <w:bottom w:val="single" w:color="auto" w:sz="4" w:space="0"/>
              <w:right w:val="single" w:color="auto" w:sz="4" w:space="0"/>
            </w:tcBorders>
            <w:vAlign w:val="center"/>
          </w:tcPr>
          <w:p w14:paraId="7961C99F">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14F0F2C">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4" w:name="_Toc22884"/>
            <w:r>
              <w:rPr>
                <w:rFonts w:hint="eastAsia" w:ascii="宋体" w:hAnsi="宋体" w:eastAsia="宋体" w:cs="宋体"/>
                <w:sz w:val="18"/>
                <w:szCs w:val="18"/>
                <w:highlight w:val="none"/>
              </w:rPr>
              <w:t>1</w:t>
            </w:r>
            <w:r>
              <w:rPr>
                <w:rFonts w:hint="eastAsia" w:ascii="Times New Roman" w:hAnsi="Times New Roman" w:eastAsia="宋体"/>
                <w:sz w:val="18"/>
                <w:szCs w:val="18"/>
                <w:highlight w:val="none"/>
              </w:rPr>
              <w:t>＜</w:t>
            </w:r>
            <w:r>
              <w:rPr>
                <w:rFonts w:hint="default" w:ascii="Times New Roman" w:hAnsi="Times New Roman" w:eastAsia="宋体"/>
                <w:sz w:val="18"/>
                <w:szCs w:val="18"/>
                <w:highlight w:val="none"/>
              </w:rPr>
              <w:t>宽度</w:t>
            </w:r>
            <w:r>
              <w:rPr>
                <w:rFonts w:hint="eastAsia" w:ascii="Times New Roman" w:hAnsi="Times New Roman" w:eastAsia="宋体"/>
                <w:sz w:val="18"/>
                <w:szCs w:val="18"/>
                <w:highlight w:val="none"/>
              </w:rPr>
              <w:t>≤</w:t>
            </w:r>
            <w:r>
              <w:rPr>
                <w:rFonts w:hint="eastAsia" w:ascii="宋体" w:hAnsi="宋体" w:eastAsia="宋体" w:cs="宋体"/>
                <w:sz w:val="18"/>
                <w:szCs w:val="18"/>
                <w:highlight w:val="none"/>
              </w:rPr>
              <w:t>2</w:t>
            </w:r>
            <w:bookmarkEnd w:id="174"/>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7E83084D">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5" w:name="_Toc18896"/>
            <w:r>
              <w:rPr>
                <w:rFonts w:hint="default" w:ascii="Times New Roman" w:hAnsi="Times New Roman" w:eastAsia="宋体"/>
                <w:spacing w:val="-1"/>
                <w:sz w:val="18"/>
                <w:szCs w:val="18"/>
                <w:highlight w:val="none"/>
              </w:rPr>
              <w:t>长度</w:t>
            </w:r>
            <w:r>
              <w:rPr>
                <w:rFonts w:hint="eastAsia" w:ascii="Times New Roman" w:hAnsi="Times New Roman" w:eastAsia="宋体"/>
                <w:spacing w:val="-1"/>
                <w:sz w:val="18"/>
                <w:szCs w:val="18"/>
                <w:highlight w:val="none"/>
                <w:lang w:eastAsia="zh-CN"/>
              </w:rPr>
              <w:t>≥</w:t>
            </w:r>
            <w:r>
              <w:rPr>
                <w:rFonts w:hint="eastAsia" w:ascii="宋体" w:hAnsi="宋体" w:eastAsia="宋体" w:cs="宋体"/>
                <w:sz w:val="18"/>
                <w:szCs w:val="18"/>
                <w:highlight w:val="none"/>
              </w:rPr>
              <w:t>30</w:t>
            </w:r>
            <w:r>
              <w:rPr>
                <w:rFonts w:hint="eastAsia" w:ascii="Times New Roman" w:hAnsi="Times New Roman" w:eastAsia="宋体"/>
                <w:spacing w:val="-1"/>
                <w:sz w:val="18"/>
                <w:szCs w:val="18"/>
                <w:highlight w:val="none"/>
              </w:rPr>
              <w:t>，</w:t>
            </w:r>
            <w:r>
              <w:rPr>
                <w:rFonts w:hint="eastAsia" w:ascii="宋体" w:hAnsi="宋体" w:eastAsia="宋体" w:cs="宋体"/>
                <w:sz w:val="18"/>
                <w:szCs w:val="18"/>
                <w:highlight w:val="none"/>
              </w:rPr>
              <w:t>不准许</w:t>
            </w:r>
            <w:bookmarkEnd w:id="175"/>
          </w:p>
        </w:tc>
      </w:tr>
      <w:tr w14:paraId="53EA2FF9">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nil"/>
              <w:left w:val="single" w:color="auto" w:sz="8" w:space="0"/>
              <w:bottom w:val="single" w:color="auto" w:sz="4" w:space="0"/>
              <w:right w:val="single" w:color="auto" w:sz="4" w:space="0"/>
            </w:tcBorders>
            <w:vAlign w:val="center"/>
          </w:tcPr>
          <w:p w14:paraId="0BAF09E5">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048" w:type="dxa"/>
            <w:vMerge w:val="continue"/>
            <w:tcBorders>
              <w:top w:val="single" w:color="auto" w:sz="4" w:space="0"/>
              <w:left w:val="single" w:color="auto" w:sz="4" w:space="0"/>
              <w:bottom w:val="single" w:color="auto" w:sz="4" w:space="0"/>
              <w:right w:val="single" w:color="auto" w:sz="4" w:space="0"/>
            </w:tcBorders>
            <w:vAlign w:val="center"/>
          </w:tcPr>
          <w:p w14:paraId="3C40EE08">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D570129">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6" w:name="_Toc6755"/>
            <w:r>
              <w:rPr>
                <w:rFonts w:hint="default" w:ascii="Times New Roman" w:hAnsi="Times New Roman" w:eastAsia="宋体"/>
                <w:sz w:val="18"/>
                <w:szCs w:val="18"/>
                <w:highlight w:val="none"/>
              </w:rPr>
              <w:t>宽度＞</w:t>
            </w:r>
            <w:r>
              <w:rPr>
                <w:rFonts w:hint="eastAsia" w:ascii="宋体" w:hAnsi="宋体" w:eastAsia="宋体" w:cs="宋体"/>
                <w:sz w:val="18"/>
                <w:szCs w:val="18"/>
                <w:highlight w:val="none"/>
              </w:rPr>
              <w:t>2</w:t>
            </w:r>
            <w:bookmarkEnd w:id="176"/>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6FD69CBF">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cs="Times New Roman"/>
                <w:sz w:val="18"/>
                <w:szCs w:val="18"/>
                <w:highlight w:val="none"/>
                <w:lang w:val="en-US" w:eastAsia="zh-CN" w:bidi="ar-SA"/>
              </w:rPr>
            </w:pPr>
            <w:bookmarkStart w:id="177" w:name="_Toc16983"/>
            <w:r>
              <w:rPr>
                <w:rFonts w:hint="eastAsia" w:ascii="宋体" w:hAnsi="宋体" w:eastAsia="宋体" w:cs="宋体"/>
                <w:sz w:val="18"/>
                <w:szCs w:val="18"/>
                <w:highlight w:val="none"/>
              </w:rPr>
              <w:t>不准许</w:t>
            </w:r>
            <w:bookmarkEnd w:id="177"/>
          </w:p>
        </w:tc>
      </w:tr>
      <w:tr w14:paraId="1A0C2BC3">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single" w:color="auto" w:sz="4" w:space="0"/>
              <w:left w:val="single" w:color="auto" w:sz="8" w:space="0"/>
              <w:bottom w:val="single" w:color="auto" w:sz="4" w:space="0"/>
              <w:right w:val="single" w:color="auto" w:sz="4" w:space="0"/>
            </w:tcBorders>
            <w:vAlign w:val="center"/>
          </w:tcPr>
          <w:p w14:paraId="5D8A1BBE">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2738" w:type="dxa"/>
            <w:gridSpan w:val="2"/>
            <w:tcBorders>
              <w:top w:val="single" w:color="auto" w:sz="4" w:space="0"/>
              <w:left w:val="single" w:color="auto" w:sz="4" w:space="0"/>
              <w:bottom w:val="single" w:color="auto" w:sz="4" w:space="0"/>
              <w:right w:val="single" w:color="auto" w:sz="4" w:space="0"/>
            </w:tcBorders>
            <w:vAlign w:val="center"/>
          </w:tcPr>
          <w:p w14:paraId="1F327B9E">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sz w:val="18"/>
                <w:szCs w:val="18"/>
                <w:highlight w:val="none"/>
              </w:rPr>
            </w:pPr>
            <w:bookmarkStart w:id="178" w:name="_Toc16355"/>
            <w:r>
              <w:rPr>
                <w:rFonts w:hint="default" w:ascii="Times New Roman" w:hAnsi="Times New Roman" w:eastAsia="宋体"/>
                <w:sz w:val="18"/>
                <w:szCs w:val="18"/>
                <w:highlight w:val="none"/>
              </w:rPr>
              <w:t>跨棱裂纹</w:t>
            </w:r>
            <w:bookmarkEnd w:id="178"/>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11C16B31">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both"/>
              <w:rPr>
                <w:rFonts w:hint="eastAsia" w:ascii="宋体" w:hAnsi="宋体" w:eastAsia="宋体" w:cs="宋体"/>
                <w:sz w:val="18"/>
                <w:szCs w:val="18"/>
                <w:highlight w:val="none"/>
              </w:rPr>
            </w:pPr>
            <w:bookmarkStart w:id="179" w:name="_Toc24507"/>
            <w:r>
              <w:rPr>
                <w:rFonts w:hint="eastAsia" w:ascii="宋体" w:hAnsi="宋体" w:eastAsia="宋体" w:cs="宋体"/>
                <w:sz w:val="18"/>
                <w:szCs w:val="18"/>
                <w:highlight w:val="none"/>
                <w:lang w:eastAsia="zh-CN"/>
              </w:rPr>
              <w:t>当跨越一条棱时，在厚度方向超过面宽的1/2，在其他面超过面宽度的1/3，不准许；跨越两条棱延续到三个面的裂纹，不准许。</w:t>
            </w:r>
            <w:bookmarkEnd w:id="179"/>
          </w:p>
        </w:tc>
      </w:tr>
      <w:tr w14:paraId="352DF952">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381" w:type="dxa"/>
            <w:vMerge w:val="continue"/>
            <w:tcBorders>
              <w:top w:val="single" w:color="auto" w:sz="4" w:space="0"/>
              <w:left w:val="single" w:color="auto" w:sz="8" w:space="0"/>
              <w:bottom w:val="single" w:color="auto" w:sz="4" w:space="0"/>
              <w:right w:val="single" w:color="auto" w:sz="4" w:space="0"/>
            </w:tcBorders>
            <w:vAlign w:val="center"/>
          </w:tcPr>
          <w:p w14:paraId="3C947433">
            <w:pPr>
              <w:pStyle w:val="22"/>
              <w:keepNext w:val="0"/>
              <w:keepLines w:val="0"/>
              <w:widowControl/>
              <w:numPr>
                <w:ilvl w:val="1"/>
                <w:numId w:val="0"/>
              </w:numPr>
              <w:suppressLineNumbers w:val="0"/>
              <w:spacing w:before="0" w:beforeLines="0" w:beforeAutospacing="0" w:after="0" w:afterLines="0" w:afterAutospacing="0"/>
              <w:ind w:left="0" w:right="0"/>
              <w:jc w:val="center"/>
              <w:rPr>
                <w:rFonts w:hint="default" w:ascii="Times New Roman" w:hAnsi="Times New Roman" w:eastAsia="宋体"/>
                <w:sz w:val="18"/>
                <w:szCs w:val="18"/>
                <w:highlight w:val="none"/>
              </w:rPr>
            </w:pPr>
          </w:p>
        </w:tc>
        <w:tc>
          <w:tcPr>
            <w:tcW w:w="2738" w:type="dxa"/>
            <w:gridSpan w:val="2"/>
            <w:tcBorders>
              <w:top w:val="single" w:color="auto" w:sz="4" w:space="0"/>
              <w:left w:val="single" w:color="auto" w:sz="4" w:space="0"/>
              <w:bottom w:val="single" w:color="auto" w:sz="4" w:space="0"/>
              <w:right w:val="single" w:color="auto" w:sz="4" w:space="0"/>
            </w:tcBorders>
            <w:vAlign w:val="center"/>
          </w:tcPr>
          <w:p w14:paraId="2330737B">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default" w:ascii="Times New Roman" w:hAnsi="Times New Roman" w:eastAsia="宋体"/>
                <w:sz w:val="18"/>
                <w:szCs w:val="18"/>
                <w:highlight w:val="none"/>
              </w:rPr>
            </w:pPr>
            <w:bookmarkStart w:id="180" w:name="_Toc3244"/>
            <w:r>
              <w:rPr>
                <w:rFonts w:hint="default" w:ascii="Times New Roman" w:hAnsi="Times New Roman" w:eastAsia="宋体"/>
                <w:sz w:val="18"/>
                <w:szCs w:val="18"/>
                <w:highlight w:val="none"/>
              </w:rPr>
              <w:t>贯穿裂纹</w:t>
            </w:r>
            <w:bookmarkEnd w:id="180"/>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6A61FF7E">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left"/>
              <w:rPr>
                <w:rFonts w:hint="default" w:ascii="Times New Roman" w:hAnsi="Times New Roman" w:eastAsia="宋体"/>
                <w:i/>
                <w:iCs/>
                <w:spacing w:val="-1"/>
                <w:sz w:val="18"/>
                <w:szCs w:val="18"/>
                <w:highlight w:val="none"/>
              </w:rPr>
            </w:pPr>
            <w:bookmarkStart w:id="181" w:name="_Toc7836"/>
            <w:r>
              <w:rPr>
                <w:rFonts w:hint="default" w:ascii="Times New Roman" w:hAnsi="Times New Roman" w:eastAsia="宋体"/>
                <w:sz w:val="18"/>
                <w:szCs w:val="18"/>
                <w:highlight w:val="none"/>
              </w:rPr>
              <w:t>贯穿到相对面</w:t>
            </w:r>
            <w:r>
              <w:rPr>
                <w:rFonts w:hint="eastAsia" w:ascii="Times New Roman" w:hAnsi="Times New Roman" w:eastAsia="宋体"/>
                <w:sz w:val="18"/>
                <w:szCs w:val="18"/>
                <w:highlight w:val="none"/>
              </w:rPr>
              <w:t>的裂纹，</w:t>
            </w:r>
            <w:r>
              <w:rPr>
                <w:rFonts w:hint="eastAsia" w:ascii="宋体" w:hAnsi="宋体" w:eastAsia="宋体" w:cs="宋体"/>
                <w:sz w:val="18"/>
                <w:szCs w:val="18"/>
                <w:highlight w:val="none"/>
              </w:rPr>
              <w:t>不准许</w:t>
            </w:r>
            <w:r>
              <w:rPr>
                <w:rFonts w:hint="default" w:ascii="Times New Roman" w:hAnsi="Times New Roman" w:eastAsia="宋体"/>
                <w:sz w:val="18"/>
                <w:szCs w:val="18"/>
                <w:highlight w:val="none"/>
              </w:rPr>
              <w:t>。</w:t>
            </w:r>
            <w:bookmarkEnd w:id="181"/>
          </w:p>
        </w:tc>
      </w:tr>
      <w:tr w14:paraId="3F45512B">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119" w:type="dxa"/>
            <w:gridSpan w:val="3"/>
            <w:tcBorders>
              <w:top w:val="single" w:color="auto" w:sz="4" w:space="0"/>
              <w:left w:val="single" w:color="auto" w:sz="8" w:space="0"/>
              <w:bottom w:val="single" w:color="auto" w:sz="4" w:space="0"/>
              <w:right w:val="single" w:color="auto" w:sz="4" w:space="0"/>
            </w:tcBorders>
            <w:vAlign w:val="center"/>
          </w:tcPr>
          <w:p w14:paraId="7D2A6572">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eastAsia" w:ascii="Times New Roman" w:hAnsi="Times New Roman" w:eastAsia="宋体"/>
                <w:sz w:val="18"/>
                <w:szCs w:val="18"/>
                <w:highlight w:val="none"/>
                <w:lang w:eastAsia="zh-CN"/>
              </w:rPr>
            </w:pPr>
            <w:bookmarkStart w:id="182" w:name="_Toc2248"/>
            <w:r>
              <w:rPr>
                <w:rFonts w:hint="eastAsia" w:ascii="Times New Roman" w:hAnsi="Times New Roman" w:eastAsia="宋体"/>
                <w:sz w:val="18"/>
                <w:szCs w:val="18"/>
                <w:highlight w:val="none"/>
                <w:lang w:eastAsia="zh-CN"/>
              </w:rPr>
              <w:t>表面附着物或其他熔结物</w:t>
            </w:r>
          </w:p>
        </w:tc>
        <w:tc>
          <w:tcPr>
            <w:tcW w:w="5215"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317F0D6B">
            <w:pPr>
              <w:pStyle w:val="22"/>
              <w:keepNext w:val="0"/>
              <w:keepLines w:val="0"/>
              <w:widowControl/>
              <w:numPr>
                <w:ilvl w:val="1"/>
                <w:numId w:val="0"/>
              </w:numPr>
              <w:suppressLineNumbers w:val="0"/>
              <w:spacing w:before="0" w:beforeLines="0" w:beforeAutospacing="0" w:after="0" w:afterLines="0" w:afterAutospacing="0"/>
              <w:ind w:left="0" w:leftChars="0" w:right="0" w:firstLine="0" w:firstLineChars="0"/>
              <w:jc w:val="center"/>
              <w:rPr>
                <w:rFonts w:hint="eastAsia" w:ascii="Times New Roman" w:hAnsi="Times New Roman" w:eastAsia="宋体"/>
                <w:sz w:val="18"/>
                <w:szCs w:val="18"/>
                <w:highlight w:val="none"/>
                <w:lang w:eastAsia="zh-CN"/>
              </w:rPr>
            </w:pPr>
            <w:r>
              <w:rPr>
                <w:rFonts w:hint="eastAsia" w:ascii="Times New Roman" w:hAnsi="Times New Roman" w:eastAsia="宋体"/>
                <w:sz w:val="18"/>
                <w:szCs w:val="18"/>
                <w:highlight w:val="none"/>
                <w:lang w:eastAsia="zh-CN"/>
              </w:rPr>
              <w:t>不准许</w:t>
            </w:r>
          </w:p>
        </w:tc>
      </w:tr>
      <w:tr w14:paraId="7FBDEEC0">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334" w:type="dxa"/>
            <w:gridSpan w:val="5"/>
            <w:tcBorders>
              <w:top w:val="single" w:color="auto" w:sz="4" w:space="0"/>
              <w:left w:val="single" w:color="auto" w:sz="8" w:space="0"/>
              <w:bottom w:val="single" w:color="auto" w:sz="4" w:space="0"/>
              <w:right w:val="single" w:color="auto" w:sz="8" w:space="0"/>
            </w:tcBorders>
            <w:vAlign w:val="center"/>
          </w:tcPr>
          <w:p w14:paraId="78EB6F18">
            <w:pPr>
              <w:pStyle w:val="22"/>
              <w:keepNext w:val="0"/>
              <w:keepLines w:val="0"/>
              <w:widowControl/>
              <w:numPr>
                <w:ilvl w:val="1"/>
                <w:numId w:val="0"/>
              </w:numPr>
              <w:suppressLineNumbers w:val="0"/>
              <w:spacing w:before="0" w:beforeLines="0" w:beforeAutospacing="0" w:after="0" w:afterLines="0" w:afterAutospacing="0"/>
              <w:ind w:left="0" w:leftChars="0" w:right="0" w:firstLine="360" w:firstLineChars="200"/>
              <w:jc w:val="left"/>
              <w:rPr>
                <w:rFonts w:hint="eastAsia" w:ascii="宋体" w:hAnsi="宋体" w:eastAsia="宋体" w:cs="宋体"/>
                <w:sz w:val="18"/>
                <w:szCs w:val="18"/>
              </w:rPr>
            </w:pPr>
            <w:r>
              <w:rPr>
                <w:rFonts w:hint="eastAsia" w:hAnsi="黑体" w:cs="黑体"/>
                <w:sz w:val="18"/>
                <w:szCs w:val="18"/>
              </w:rPr>
              <w:t>注</w:t>
            </w:r>
            <w:r>
              <w:rPr>
                <w:rFonts w:hint="eastAsia" w:hAnsi="黑体" w:cs="黑体"/>
                <w:sz w:val="18"/>
                <w:szCs w:val="18"/>
                <w:lang w:val="en-US" w:eastAsia="zh-CN"/>
              </w:rPr>
              <w:t>1</w:t>
            </w:r>
            <w:r>
              <w:rPr>
                <w:rFonts w:hint="default" w:ascii="Times New Roman" w:hAnsi="Times New Roman" w:eastAsia="宋体"/>
                <w:sz w:val="18"/>
                <w:szCs w:val="18"/>
              </w:rPr>
              <w:t>：</w:t>
            </w:r>
            <w:r>
              <w:rPr>
                <w:rFonts w:hint="eastAsia" w:ascii="Times New Roman" w:hAnsi="Times New Roman" w:eastAsia="宋体"/>
                <w:sz w:val="18"/>
                <w:szCs w:val="18"/>
                <w:lang w:eastAsia="zh-CN"/>
              </w:rPr>
              <w:t>如有特殊要求</w:t>
            </w:r>
            <w:r>
              <w:rPr>
                <w:rFonts w:hint="default" w:ascii="Times New Roman" w:hAnsi="Times New Roman" w:eastAsia="宋体"/>
                <w:sz w:val="18"/>
                <w:szCs w:val="18"/>
              </w:rPr>
              <w:t>时由供需双方商定。</w:t>
            </w:r>
            <w:bookmarkEnd w:id="182"/>
          </w:p>
        </w:tc>
      </w:tr>
      <w:tr w14:paraId="5FCF63CE">
        <w:tblPrEx>
          <w:tblBorders>
            <w:top w:val="single" w:color="auto" w:sz="8"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9334" w:type="dxa"/>
            <w:gridSpan w:val="5"/>
            <w:tcBorders>
              <w:top w:val="single" w:color="auto" w:sz="4" w:space="0"/>
              <w:left w:val="single" w:color="auto" w:sz="8" w:space="0"/>
              <w:bottom w:val="single" w:color="auto" w:sz="8" w:space="0"/>
              <w:right w:val="single" w:color="auto" w:sz="8" w:space="0"/>
            </w:tcBorders>
            <w:vAlign w:val="center"/>
          </w:tcPr>
          <w:p w14:paraId="5828451C">
            <w:pPr>
              <w:pStyle w:val="22"/>
              <w:keepNext w:val="0"/>
              <w:keepLines w:val="0"/>
              <w:widowControl/>
              <w:numPr>
                <w:ilvl w:val="1"/>
                <w:numId w:val="0"/>
              </w:numPr>
              <w:suppressLineNumbers w:val="0"/>
              <w:spacing w:before="0" w:beforeLines="0" w:beforeAutospacing="0" w:after="0" w:afterLines="0" w:afterAutospacing="0"/>
              <w:ind w:left="0" w:leftChars="0" w:right="0" w:firstLine="360" w:firstLineChars="200"/>
              <w:jc w:val="left"/>
              <w:rPr>
                <w:rFonts w:hint="default" w:ascii="Times New Roman" w:hAnsi="Times New Roman" w:eastAsia="宋体"/>
                <w:sz w:val="18"/>
                <w:szCs w:val="18"/>
                <w:vertAlign w:val="superscript"/>
              </w:rPr>
            </w:pPr>
            <w:bookmarkStart w:id="183" w:name="_Toc2056"/>
            <w:r>
              <w:rPr>
                <w:rFonts w:hint="default" w:ascii="Times New Roman" w:hAnsi="Times New Roman" w:eastAsia="宋体"/>
                <w:sz w:val="18"/>
                <w:szCs w:val="18"/>
                <w:vertAlign w:val="superscript"/>
              </w:rPr>
              <w:t>a</w:t>
            </w:r>
            <w:r>
              <w:rPr>
                <w:rFonts w:hint="default" w:ascii="Times New Roman" w:hAnsi="Times New Roman" w:eastAsia="宋体"/>
                <w:sz w:val="18"/>
                <w:szCs w:val="18"/>
              </w:rPr>
              <w:t>边长＜</w:t>
            </w:r>
            <w:r>
              <w:rPr>
                <w:rFonts w:hint="eastAsia" w:ascii="宋体" w:hAnsi="宋体" w:eastAsia="宋体" w:cs="宋体"/>
                <w:sz w:val="18"/>
                <w:szCs w:val="18"/>
              </w:rPr>
              <w:t>500</w:t>
            </w:r>
            <w:r>
              <w:rPr>
                <w:rFonts w:hint="default" w:ascii="Times New Roman" w:hAnsi="Times New Roman" w:eastAsia="宋体"/>
                <w:sz w:val="18"/>
                <w:szCs w:val="18"/>
              </w:rPr>
              <w:t>mm</w:t>
            </w:r>
            <w:r>
              <w:rPr>
                <w:rFonts w:hint="eastAsia" w:ascii="Times New Roman" w:hAnsi="Times New Roman" w:eastAsia="宋体"/>
                <w:sz w:val="18"/>
                <w:szCs w:val="18"/>
              </w:rPr>
              <w:t>的</w:t>
            </w:r>
            <w:r>
              <w:rPr>
                <w:rFonts w:hint="default" w:ascii="Times New Roman" w:hAnsi="Times New Roman" w:eastAsia="宋体"/>
                <w:sz w:val="18"/>
                <w:szCs w:val="18"/>
              </w:rPr>
              <w:t>制品由供需双方商定。</w:t>
            </w:r>
            <w:bookmarkEnd w:id="183"/>
          </w:p>
        </w:tc>
      </w:tr>
    </w:tbl>
    <w:p w14:paraId="6A6336B4">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spacing w:val="1"/>
          <w:sz w:val="20"/>
        </w:rPr>
      </w:pPr>
      <w:r>
        <w:rPr>
          <w:rFonts w:hint="eastAsia" w:ascii="黑体" w:hAnsi="黑体" w:eastAsia="黑体" w:cs="黑体"/>
          <w:spacing w:val="8"/>
          <w:szCs w:val="21"/>
        </w:rPr>
        <w:t>5.2.2</w:t>
      </w:r>
      <w:r>
        <w:rPr>
          <w:rFonts w:hint="eastAsia" w:hAnsi="宋体" w:cs="宋体"/>
          <w:spacing w:val="8"/>
          <w:szCs w:val="21"/>
        </w:rPr>
        <w:t xml:space="preserve"> </w:t>
      </w:r>
      <w:r>
        <w:rPr>
          <w:rFonts w:hint="eastAsia" w:ascii="宋体" w:hAnsi="宋体" w:eastAsia="宋体" w:cs="宋体"/>
          <w:spacing w:val="5"/>
          <w:kern w:val="0"/>
          <w:sz w:val="21"/>
          <w:szCs w:val="21"/>
          <w:lang w:val="en-US" w:eastAsia="zh-CN" w:bidi="ar-SA"/>
        </w:rPr>
        <w:t xml:space="preserve"> 对于一些特殊的异型制品如唇砖、</w:t>
      </w:r>
      <w:r>
        <w:rPr>
          <w:rFonts w:hint="default" w:ascii="Times New Roman" w:hAnsi="Times New Roman" w:eastAsia="宋体" w:cs="Times New Roman"/>
          <w:spacing w:val="5"/>
          <w:kern w:val="0"/>
          <w:sz w:val="21"/>
          <w:szCs w:val="21"/>
          <w:lang w:val="en-US" w:eastAsia="zh-CN" w:bidi="ar-SA"/>
        </w:rPr>
        <w:t>U</w:t>
      </w:r>
      <w:r>
        <w:rPr>
          <w:rFonts w:hint="eastAsia" w:ascii="宋体" w:hAnsi="宋体" w:eastAsia="宋体" w:cs="宋体"/>
          <w:spacing w:val="5"/>
          <w:kern w:val="0"/>
          <w:sz w:val="21"/>
          <w:szCs w:val="21"/>
          <w:lang w:val="en-US" w:eastAsia="zh-CN" w:bidi="ar-SA"/>
        </w:rPr>
        <w:t>型料槽砖、流道流槽砖等特异型品种以及其他有特殊要求的制品，外观质量可由供需双方商定。</w:t>
      </w:r>
    </w:p>
    <w:p w14:paraId="7B3686F5">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both"/>
        <w:textAlignment w:val="auto"/>
        <w:rPr>
          <w:spacing w:val="1"/>
          <w:sz w:val="20"/>
        </w:rPr>
      </w:pPr>
      <w:r>
        <w:rPr>
          <w:rFonts w:hint="eastAsia" w:ascii="黑体" w:hAnsi="黑体" w:eastAsia="黑体" w:cs="黑体"/>
          <w:spacing w:val="8"/>
          <w:szCs w:val="21"/>
        </w:rPr>
        <w:t>5.2.3</w:t>
      </w:r>
      <w:r>
        <w:rPr>
          <w:rFonts w:hint="eastAsia"/>
          <w:spacing w:val="1"/>
          <w:sz w:val="20"/>
        </w:rPr>
        <w:t xml:space="preserve">  </w:t>
      </w:r>
      <w:r>
        <w:rPr>
          <w:rFonts w:hint="eastAsia" w:hAnsi="宋体" w:cs="宋体"/>
          <w:spacing w:val="5"/>
          <w:szCs w:val="21"/>
        </w:rPr>
        <w:t>非加工砖（面）尺寸允许偏差为+8</w:t>
      </w:r>
      <w:r>
        <w:rPr>
          <w:rFonts w:ascii="Times New Roman" w:hAnsi="Times New Roman"/>
          <w:szCs w:val="21"/>
        </w:rPr>
        <w:t>mm</w:t>
      </w:r>
      <w:r>
        <w:rPr>
          <w:rFonts w:hint="eastAsia" w:hAnsi="宋体" w:cs="宋体"/>
          <w:spacing w:val="5"/>
          <w:szCs w:val="21"/>
        </w:rPr>
        <w:t>～</w:t>
      </w:r>
      <w:r>
        <w:rPr>
          <w:rFonts w:hint="eastAsia" w:ascii="宋体" w:hAnsi="宋体" w:eastAsia="宋体" w:cs="宋体"/>
          <w:spacing w:val="5"/>
          <w:szCs w:val="21"/>
        </w:rPr>
        <w:t>+</w:t>
      </w:r>
      <w:r>
        <w:rPr>
          <w:rFonts w:hint="eastAsia" w:hAnsi="宋体" w:cs="宋体"/>
          <w:spacing w:val="5"/>
          <w:szCs w:val="21"/>
        </w:rPr>
        <w:t>2</w:t>
      </w:r>
      <w:r>
        <w:rPr>
          <w:rFonts w:ascii="Times New Roman" w:hAnsi="Times New Roman"/>
          <w:szCs w:val="21"/>
        </w:rPr>
        <w:t>mm</w:t>
      </w:r>
      <w:r>
        <w:rPr>
          <w:rFonts w:hint="eastAsia" w:hAnsi="宋体" w:cs="宋体"/>
          <w:spacing w:val="5"/>
          <w:szCs w:val="21"/>
        </w:rPr>
        <w:t>，扭曲±15</w:t>
      </w:r>
      <w:r>
        <w:rPr>
          <w:rFonts w:ascii="Times New Roman" w:hAnsi="Times New Roman"/>
          <w:szCs w:val="21"/>
        </w:rPr>
        <w:t>mm</w:t>
      </w:r>
      <w:r>
        <w:rPr>
          <w:rFonts w:hint="eastAsia" w:hAnsi="宋体" w:cs="宋体"/>
          <w:szCs w:val="21"/>
        </w:rPr>
        <w:t>，</w:t>
      </w:r>
      <w:r>
        <w:rPr>
          <w:rFonts w:hint="eastAsia" w:hAnsi="宋体" w:cs="宋体"/>
          <w:spacing w:val="5"/>
          <w:szCs w:val="21"/>
        </w:rPr>
        <w:t>也可由供需双方商定。</w:t>
      </w:r>
    </w:p>
    <w:p w14:paraId="75E45099">
      <w:pPr>
        <w:pStyle w:val="61"/>
        <w:keepNext w:val="0"/>
        <w:keepLines w:val="0"/>
        <w:pageBreakBefore w:val="0"/>
        <w:kinsoku/>
        <w:wordWrap/>
        <w:overflowPunct/>
        <w:topLinePunct w:val="0"/>
        <w:bidi w:val="0"/>
        <w:adjustRightInd/>
        <w:snapToGrid/>
        <w:spacing w:before="156" w:after="156"/>
        <w:textAlignment w:val="auto"/>
      </w:pPr>
      <w:bookmarkStart w:id="184" w:name="_Toc10061"/>
      <w:r>
        <w:t>5.3　预组装</w:t>
      </w:r>
      <w:bookmarkEnd w:id="184"/>
    </w:p>
    <w:p w14:paraId="52F4F77D">
      <w:pPr>
        <w:pStyle w:val="22"/>
        <w:keepNext w:val="0"/>
        <w:keepLines w:val="0"/>
        <w:pageBreakBefore w:val="0"/>
        <w:widowControl/>
        <w:numPr>
          <w:ilvl w:val="1"/>
          <w:numId w:val="0"/>
        </w:numPr>
        <w:kinsoku/>
        <w:wordWrap/>
        <w:overflowPunct/>
        <w:topLinePunct w:val="0"/>
        <w:autoSpaceDE/>
        <w:autoSpaceDN/>
        <w:bidi w:val="0"/>
        <w:adjustRightInd/>
        <w:snapToGrid/>
        <w:spacing w:before="156" w:after="156"/>
        <w:jc w:val="both"/>
        <w:textAlignment w:val="auto"/>
        <w:rPr>
          <w:spacing w:val="6"/>
          <w:sz w:val="20"/>
          <w:szCs w:val="20"/>
        </w:rPr>
      </w:pPr>
      <w:bookmarkStart w:id="185" w:name="_Toc31818"/>
      <w:bookmarkStart w:id="186" w:name="_Toc16030"/>
      <w:r>
        <w:rPr>
          <w:rFonts w:hint="eastAsia" w:hAnsi="黑体" w:cs="黑体"/>
          <w:spacing w:val="8"/>
        </w:rPr>
        <w:t>5.3.1</w:t>
      </w:r>
      <w:r>
        <w:rPr>
          <w:rFonts w:hint="eastAsia" w:ascii="宋体" w:hAnsi="宋体" w:eastAsia="宋体"/>
        </w:rPr>
        <w:t xml:space="preserve"> </w:t>
      </w:r>
      <w:r>
        <w:rPr>
          <w:rFonts w:hint="eastAsia" w:ascii="宋体" w:hAnsi="宋体" w:eastAsia="宋体" w:cs="宋体"/>
          <w:spacing w:val="6"/>
        </w:rPr>
        <w:t>预组装配套制品的组装后精磨面砖缝宽度应不大于1</w:t>
      </w:r>
      <w:r>
        <w:rPr>
          <w:rFonts w:ascii="Times New Roman" w:hAnsi="Times New Roman" w:eastAsia="宋体"/>
        </w:rPr>
        <w:t>mm</w:t>
      </w:r>
      <w:r>
        <w:rPr>
          <w:rFonts w:hint="eastAsia" w:ascii="宋体" w:hAnsi="宋体" w:eastAsia="宋体" w:cs="宋体"/>
          <w:spacing w:val="6"/>
        </w:rPr>
        <w:t>，如有特殊要求，可由供需双方商定。</w:t>
      </w:r>
      <w:bookmarkEnd w:id="185"/>
      <w:bookmarkEnd w:id="186"/>
    </w:p>
    <w:p w14:paraId="1AC764A2">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ascii="Times New Roman" w:hAnsi="Times New Roman"/>
          <w:spacing w:val="4"/>
          <w:sz w:val="20"/>
        </w:rPr>
      </w:pPr>
      <w:r>
        <w:rPr>
          <w:rFonts w:hint="eastAsia" w:ascii="黑体" w:hAnsi="黑体" w:eastAsia="黑体" w:cs="黑体"/>
          <w:spacing w:val="8"/>
          <w:szCs w:val="21"/>
        </w:rPr>
        <w:t>5.3.2</w:t>
      </w:r>
      <w:r>
        <w:rPr>
          <w:rFonts w:hint="eastAsia"/>
        </w:rPr>
        <w:t xml:space="preserve"> </w:t>
      </w:r>
      <w:r>
        <w:rPr>
          <w:rFonts w:hint="eastAsia" w:hAnsi="宋体" w:cs="宋体"/>
          <w:spacing w:val="10"/>
          <w:szCs w:val="21"/>
        </w:rPr>
        <w:t>预组装应保证总体尺寸允许偏差，当长度</w:t>
      </w:r>
      <w:r>
        <w:rPr>
          <w:rFonts w:hint="eastAsia" w:hAnsi="宋体" w:cs="宋体"/>
          <w:spacing w:val="9"/>
          <w:szCs w:val="21"/>
        </w:rPr>
        <w:t>大于5</w:t>
      </w:r>
      <w:r>
        <w:rPr>
          <w:rFonts w:ascii="Times New Roman" w:hAnsi="Times New Roman"/>
          <w:spacing w:val="9"/>
          <w:szCs w:val="21"/>
        </w:rPr>
        <w:t>m</w:t>
      </w:r>
      <w:r>
        <w:rPr>
          <w:rFonts w:hint="eastAsia" w:hAnsi="宋体" w:cs="宋体"/>
          <w:spacing w:val="9"/>
          <w:szCs w:val="21"/>
        </w:rPr>
        <w:t>时，偏差不大于0</w:t>
      </w:r>
      <w:r>
        <w:rPr>
          <w:rFonts w:hint="eastAsia" w:hAnsi="宋体" w:cs="宋体"/>
          <w:spacing w:val="9"/>
          <w:szCs w:val="21"/>
          <w:lang w:val="en-US" w:eastAsia="zh-CN"/>
        </w:rPr>
        <w:t>.</w:t>
      </w:r>
      <w:r>
        <w:rPr>
          <w:rFonts w:hint="eastAsia" w:hAnsi="宋体" w:cs="宋体"/>
          <w:spacing w:val="9"/>
          <w:szCs w:val="21"/>
        </w:rPr>
        <w:t>15</w:t>
      </w:r>
      <w:r>
        <w:rPr>
          <w:rFonts w:ascii="Times New Roman" w:hAnsi="Times New Roman"/>
          <w:spacing w:val="9"/>
          <w:szCs w:val="21"/>
        </w:rPr>
        <w:t>%</w:t>
      </w:r>
      <w:r>
        <w:rPr>
          <w:rFonts w:hint="eastAsia" w:hAnsi="宋体" w:cs="宋体"/>
          <w:spacing w:val="9"/>
          <w:szCs w:val="21"/>
        </w:rPr>
        <w:t>；当长度小于等于5</w:t>
      </w:r>
      <w:r>
        <w:rPr>
          <w:rFonts w:ascii="Times New Roman" w:hAnsi="Times New Roman"/>
          <w:spacing w:val="9"/>
          <w:szCs w:val="21"/>
        </w:rPr>
        <w:t>m</w:t>
      </w:r>
      <w:r>
        <w:rPr>
          <w:rFonts w:hint="eastAsia" w:hAnsi="宋体" w:cs="宋体"/>
          <w:spacing w:val="9"/>
          <w:szCs w:val="21"/>
        </w:rPr>
        <w:t>时，</w:t>
      </w:r>
      <w:r>
        <w:rPr>
          <w:rFonts w:hint="eastAsia" w:hAnsi="宋体" w:cs="宋体"/>
          <w:spacing w:val="5"/>
          <w:szCs w:val="21"/>
        </w:rPr>
        <w:t>偏差不大于5</w:t>
      </w:r>
      <w:r>
        <w:rPr>
          <w:rFonts w:ascii="Times New Roman" w:hAnsi="Times New Roman"/>
          <w:szCs w:val="21"/>
        </w:rPr>
        <w:t>mm</w:t>
      </w:r>
      <w:r>
        <w:rPr>
          <w:rFonts w:hint="eastAsia" w:hAnsi="宋体" w:cs="宋体"/>
          <w:spacing w:val="5"/>
          <w:szCs w:val="21"/>
        </w:rPr>
        <w:t>，但可不保证每块砖的尺寸允许偏差。如有</w:t>
      </w:r>
      <w:r>
        <w:rPr>
          <w:rFonts w:hint="eastAsia" w:hAnsi="宋体" w:cs="宋体"/>
          <w:spacing w:val="4"/>
          <w:szCs w:val="21"/>
        </w:rPr>
        <w:t>特殊要求，由供需双方商定。</w:t>
      </w:r>
    </w:p>
    <w:bookmarkEnd w:id="46"/>
    <w:bookmarkEnd w:id="47"/>
    <w:p w14:paraId="6E6C55BE">
      <w:pPr>
        <w:pStyle w:val="60"/>
        <w:spacing w:before="312" w:after="312"/>
      </w:pPr>
      <w:bookmarkStart w:id="187" w:name="_Toc13375"/>
      <w:bookmarkStart w:id="188" w:name="_Toc29884"/>
      <w:bookmarkStart w:id="189" w:name="_Toc73958786"/>
      <w:bookmarkStart w:id="190" w:name="_Toc73622019"/>
      <w:r>
        <w:t>6　取样方法</w:t>
      </w:r>
      <w:bookmarkEnd w:id="187"/>
      <w:bookmarkEnd w:id="188"/>
      <w:bookmarkEnd w:id="189"/>
      <w:bookmarkEnd w:id="190"/>
    </w:p>
    <w:p w14:paraId="4D225162">
      <w:pPr>
        <w:pStyle w:val="61"/>
        <w:spacing w:before="156" w:after="156"/>
      </w:pPr>
      <w:bookmarkStart w:id="191" w:name="_Hlk151715709"/>
      <w:bookmarkStart w:id="192" w:name="_Toc73622020"/>
      <w:bookmarkStart w:id="193" w:name="_Toc73958787"/>
      <w:bookmarkStart w:id="194" w:name="_Toc3043"/>
      <w:r>
        <w:t>6.1　</w:t>
      </w:r>
      <w:bookmarkEnd w:id="191"/>
      <w:r>
        <w:t>样砖规格</w:t>
      </w:r>
      <w:bookmarkEnd w:id="192"/>
      <w:bookmarkEnd w:id="193"/>
      <w:bookmarkEnd w:id="194"/>
    </w:p>
    <w:p w14:paraId="38990414">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highlight w:val="none"/>
        </w:rPr>
      </w:pPr>
      <w:r>
        <w:rPr>
          <w:rFonts w:hint="eastAsia" w:ascii="黑体" w:hAnsi="黑体" w:eastAsia="黑体" w:cs="黑体"/>
          <w:spacing w:val="8"/>
          <w:szCs w:val="21"/>
        </w:rPr>
        <w:t>6.1.1</w:t>
      </w:r>
      <w:r>
        <w:rPr>
          <w:rFonts w:hint="eastAsia"/>
        </w:rPr>
        <w:t xml:space="preserve">  </w:t>
      </w:r>
      <w:r>
        <w:rPr>
          <w:rFonts w:hint="eastAsia" w:hAnsi="宋体" w:cs="宋体"/>
          <w:szCs w:val="21"/>
        </w:rPr>
        <w:t>样砖的浇</w:t>
      </w:r>
      <w:r>
        <w:rPr>
          <w:rFonts w:hint="eastAsia" w:hAnsi="宋体" w:cs="宋体"/>
          <w:szCs w:val="21"/>
          <w:highlight w:val="none"/>
        </w:rPr>
        <w:t>铸方法为普通浇铸。</w:t>
      </w:r>
    </w:p>
    <w:p w14:paraId="613E472F">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spacing w:val="10"/>
          <w:sz w:val="20"/>
          <w:highlight w:val="none"/>
        </w:rPr>
      </w:pPr>
      <w:r>
        <w:rPr>
          <w:rFonts w:hint="eastAsia" w:ascii="黑体" w:hAnsi="黑体" w:eastAsia="黑体" w:cs="黑体"/>
          <w:spacing w:val="8"/>
          <w:szCs w:val="21"/>
          <w:highlight w:val="none"/>
        </w:rPr>
        <w:t>6.1.2</w:t>
      </w:r>
      <w:r>
        <w:rPr>
          <w:rFonts w:hint="eastAsia"/>
          <w:highlight w:val="none"/>
        </w:rPr>
        <w:t xml:space="preserve">  </w:t>
      </w:r>
      <w:r>
        <w:rPr>
          <w:rFonts w:hint="eastAsia" w:hAnsi="宋体" w:cs="宋体"/>
          <w:szCs w:val="21"/>
          <w:highlight w:val="none"/>
        </w:rPr>
        <w:t>样砖尺寸为</w:t>
      </w:r>
      <w:r>
        <w:rPr>
          <w:rFonts w:hint="eastAsia" w:hAnsi="宋体" w:cs="宋体"/>
          <w:szCs w:val="21"/>
          <w:highlight w:val="none"/>
          <w:lang w:val="en-US" w:eastAsia="zh-CN"/>
        </w:rPr>
        <w:t>4</w:t>
      </w:r>
      <w:r>
        <w:rPr>
          <w:rFonts w:hint="eastAsia" w:hAnsi="宋体" w:cs="宋体"/>
          <w:szCs w:val="21"/>
          <w:highlight w:val="none"/>
        </w:rPr>
        <w:t>00</w:t>
      </w:r>
      <w:r>
        <w:rPr>
          <w:rFonts w:ascii="Times New Roman" w:hAnsi="Times New Roman"/>
          <w:szCs w:val="21"/>
          <w:highlight w:val="none"/>
        </w:rPr>
        <w:t>mm</w:t>
      </w:r>
      <w:r>
        <w:rPr>
          <w:rFonts w:hint="eastAsia" w:hAnsi="宋体" w:cs="宋体"/>
          <w:spacing w:val="10"/>
          <w:szCs w:val="21"/>
          <w:highlight w:val="none"/>
        </w:rPr>
        <w:t>×</w:t>
      </w:r>
      <w:r>
        <w:rPr>
          <w:rFonts w:hint="eastAsia" w:hAnsi="宋体" w:cs="宋体"/>
          <w:spacing w:val="10"/>
          <w:szCs w:val="21"/>
          <w:highlight w:val="none"/>
          <w:lang w:val="en-US" w:eastAsia="zh-CN"/>
        </w:rPr>
        <w:t>300</w:t>
      </w:r>
      <w:r>
        <w:rPr>
          <w:rFonts w:ascii="Times New Roman" w:hAnsi="Times New Roman"/>
          <w:szCs w:val="21"/>
          <w:highlight w:val="none"/>
        </w:rPr>
        <w:t>mm</w:t>
      </w:r>
      <w:r>
        <w:rPr>
          <w:rFonts w:hint="eastAsia" w:hAnsi="宋体" w:cs="宋体"/>
          <w:spacing w:val="10"/>
          <w:szCs w:val="21"/>
          <w:highlight w:val="none"/>
        </w:rPr>
        <w:t>×</w:t>
      </w:r>
      <w:r>
        <w:rPr>
          <w:rFonts w:hint="eastAsia" w:hAnsi="宋体" w:cs="宋体"/>
          <w:spacing w:val="10"/>
          <w:szCs w:val="21"/>
          <w:highlight w:val="none"/>
          <w:lang w:val="en-US" w:eastAsia="zh-CN"/>
        </w:rPr>
        <w:t>45</w:t>
      </w:r>
      <w:r>
        <w:rPr>
          <w:rFonts w:hint="eastAsia" w:hAnsi="宋体" w:cs="宋体"/>
          <w:spacing w:val="10"/>
          <w:szCs w:val="21"/>
          <w:highlight w:val="none"/>
        </w:rPr>
        <w:t>0</w:t>
      </w:r>
      <w:r>
        <w:rPr>
          <w:rFonts w:ascii="Times New Roman" w:hAnsi="Times New Roman"/>
          <w:szCs w:val="21"/>
          <w:highlight w:val="none"/>
        </w:rPr>
        <w:t>mm</w:t>
      </w:r>
      <w:r>
        <w:rPr>
          <w:rFonts w:hint="eastAsia" w:hAnsi="宋体" w:cs="宋体"/>
          <w:spacing w:val="10"/>
          <w:szCs w:val="21"/>
          <w:highlight w:val="none"/>
        </w:rPr>
        <w:t>(长度×宽度×高度),如图</w:t>
      </w:r>
      <w:r>
        <w:rPr>
          <w:rFonts w:hint="eastAsia" w:hAnsi="宋体" w:cs="宋体"/>
          <w:spacing w:val="10"/>
          <w:szCs w:val="21"/>
          <w:highlight w:val="none"/>
          <w:lang w:val="en-US" w:eastAsia="zh-CN"/>
        </w:rPr>
        <w:t>4</w:t>
      </w:r>
      <w:r>
        <w:rPr>
          <w:rFonts w:hint="eastAsia" w:hAnsi="宋体" w:cs="宋体"/>
          <w:spacing w:val="10"/>
          <w:szCs w:val="21"/>
          <w:highlight w:val="none"/>
        </w:rPr>
        <w:t>。</w:t>
      </w:r>
    </w:p>
    <w:p w14:paraId="6EA530E6">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hint="default" w:eastAsia="宋体"/>
          <w:sz w:val="18"/>
          <w:szCs w:val="18"/>
          <w:highlight w:val="none"/>
          <w:lang w:val="en-US" w:eastAsia="zh-CN"/>
        </w:rPr>
      </w:pPr>
      <w:r>
        <w:rPr>
          <w:rFonts w:hint="eastAsia" w:ascii="黑体" w:hAnsi="黑体" w:eastAsia="黑体" w:cs="黑体"/>
          <w:spacing w:val="8"/>
          <w:szCs w:val="21"/>
          <w:highlight w:val="none"/>
        </w:rPr>
        <w:t>6.1.3</w:t>
      </w:r>
      <w:r>
        <w:rPr>
          <w:rFonts w:hint="eastAsia"/>
          <w:highlight w:val="none"/>
        </w:rPr>
        <w:t xml:space="preserve">  </w:t>
      </w:r>
      <w:r>
        <w:rPr>
          <w:rFonts w:hint="eastAsia" w:hAnsi="宋体" w:cs="宋体"/>
          <w:spacing w:val="8"/>
          <w:szCs w:val="21"/>
          <w:highlight w:val="none"/>
        </w:rPr>
        <w:t>样砖的铸口应在</w:t>
      </w:r>
      <w:r>
        <w:rPr>
          <w:rFonts w:hint="eastAsia" w:hAnsi="宋体" w:cs="宋体"/>
          <w:spacing w:val="8"/>
          <w:szCs w:val="21"/>
          <w:highlight w:val="none"/>
          <w:lang w:val="en-US" w:eastAsia="zh-CN"/>
        </w:rPr>
        <w:t>4</w:t>
      </w:r>
      <w:r>
        <w:rPr>
          <w:rFonts w:hint="eastAsia" w:hAnsi="宋体" w:cs="宋体"/>
          <w:spacing w:val="8"/>
          <w:szCs w:val="21"/>
          <w:highlight w:val="none"/>
        </w:rPr>
        <w:t>00</w:t>
      </w:r>
      <w:r>
        <w:rPr>
          <w:rFonts w:ascii="Times New Roman" w:hAnsi="Times New Roman"/>
          <w:szCs w:val="21"/>
          <w:highlight w:val="none"/>
        </w:rPr>
        <w:t>mm</w:t>
      </w:r>
      <w:r>
        <w:rPr>
          <w:rFonts w:hint="eastAsia" w:hAnsi="宋体" w:cs="宋体"/>
          <w:spacing w:val="8"/>
          <w:szCs w:val="21"/>
          <w:highlight w:val="none"/>
        </w:rPr>
        <w:t>×</w:t>
      </w:r>
      <w:r>
        <w:rPr>
          <w:rFonts w:hint="eastAsia" w:hAnsi="宋体" w:cs="宋体"/>
          <w:spacing w:val="8"/>
          <w:szCs w:val="21"/>
          <w:highlight w:val="none"/>
          <w:lang w:val="en-US" w:eastAsia="zh-CN"/>
        </w:rPr>
        <w:t>3</w:t>
      </w:r>
      <w:r>
        <w:rPr>
          <w:rFonts w:hint="eastAsia" w:hAnsi="宋体" w:cs="宋体"/>
          <w:spacing w:val="8"/>
          <w:szCs w:val="21"/>
          <w:highlight w:val="none"/>
        </w:rPr>
        <w:t>00</w:t>
      </w:r>
      <w:r>
        <w:rPr>
          <w:rFonts w:ascii="Times New Roman" w:hAnsi="Times New Roman"/>
          <w:szCs w:val="21"/>
          <w:highlight w:val="none"/>
        </w:rPr>
        <w:t>mm</w:t>
      </w:r>
      <w:r>
        <w:rPr>
          <w:rFonts w:hint="eastAsia" w:hAnsi="宋体" w:cs="宋体"/>
          <w:spacing w:val="8"/>
          <w:szCs w:val="21"/>
          <w:highlight w:val="none"/>
        </w:rPr>
        <w:t>面上。</w:t>
      </w:r>
    </w:p>
    <w:p w14:paraId="351658B6">
      <w:pPr>
        <w:pStyle w:val="18"/>
        <w:ind w:firstLine="0" w:firstLineChars="0"/>
        <w:jc w:val="right"/>
        <w:rPr>
          <w:sz w:val="18"/>
          <w:szCs w:val="18"/>
          <w:highlight w:val="none"/>
        </w:rPr>
      </w:pPr>
      <w:r>
        <w:rPr>
          <w:rFonts w:hint="eastAsia"/>
          <w:sz w:val="18"/>
          <w:szCs w:val="18"/>
          <w:highlight w:val="none"/>
        </w:rPr>
        <w:t>单位为毫米</w:t>
      </w:r>
    </w:p>
    <w:p w14:paraId="3C668D2B">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宋体"/>
          <w:highlight w:val="none"/>
          <w:lang w:eastAsia="zh-CN"/>
        </w:rPr>
      </w:pPr>
      <w:r>
        <w:rPr>
          <w:rFonts w:hint="eastAsia" w:eastAsia="宋体"/>
          <w:highlight w:val="none"/>
          <w:lang w:eastAsia="zh-CN"/>
        </w:rPr>
        <w:drawing>
          <wp:inline distT="0" distB="0" distL="114300" distR="114300">
            <wp:extent cx="3133725" cy="3225165"/>
            <wp:effectExtent l="0" t="0" r="3175" b="635"/>
            <wp:docPr id="22" name="图片 22" descr="ffe8d21150451b967ecb0ef3cb236a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fe8d21150451b967ecb0ef3cb236a7f"/>
                    <pic:cNvPicPr>
                      <a:picLocks noChangeAspect="1"/>
                    </pic:cNvPicPr>
                  </pic:nvPicPr>
                  <pic:blipFill>
                    <a:blip r:embed="rId10"/>
                    <a:stretch>
                      <a:fillRect/>
                    </a:stretch>
                  </pic:blipFill>
                  <pic:spPr>
                    <a:xfrm>
                      <a:off x="0" y="0"/>
                      <a:ext cx="3133725" cy="3225165"/>
                    </a:xfrm>
                    <a:prstGeom prst="rect">
                      <a:avLst/>
                    </a:prstGeom>
                  </pic:spPr>
                </pic:pic>
              </a:graphicData>
            </a:graphic>
          </wp:inline>
        </w:drawing>
      </w:r>
    </w:p>
    <w:p w14:paraId="4274A897">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eastAsia="黑体"/>
          <w:highlight w:val="none"/>
          <w:lang w:val="en-US" w:eastAsia="zh-CN"/>
        </w:rPr>
      </w:pPr>
      <w:r>
        <w:rPr>
          <w:rFonts w:hint="eastAsia" w:ascii="黑体" w:hAnsi="黑体" w:eastAsia="黑体"/>
          <w:highlight w:val="none"/>
        </w:rPr>
        <w:t>图</w:t>
      </w:r>
      <w:r>
        <w:rPr>
          <w:rFonts w:hint="eastAsia" w:ascii="黑体" w:hAnsi="黑体" w:eastAsia="黑体"/>
          <w:highlight w:val="none"/>
          <w:lang w:val="en-US" w:eastAsia="zh-CN"/>
        </w:rPr>
        <w:t>4</w:t>
      </w:r>
      <w:r>
        <w:rPr>
          <w:rFonts w:hint="eastAsia" w:ascii="黑体" w:hAnsi="黑体" w:eastAsia="黑体"/>
          <w:highlight w:val="none"/>
        </w:rPr>
        <w:t xml:space="preserve"> 样砖</w:t>
      </w:r>
      <w:r>
        <w:rPr>
          <w:rFonts w:hint="eastAsia" w:ascii="黑体" w:hAnsi="黑体" w:eastAsia="黑体"/>
          <w:highlight w:val="none"/>
          <w:lang w:val="en-US" w:eastAsia="zh-CN"/>
        </w:rPr>
        <w:t>示意图</w:t>
      </w:r>
    </w:p>
    <w:p w14:paraId="10748565">
      <w:pPr>
        <w:pStyle w:val="61"/>
        <w:spacing w:before="156" w:after="156"/>
        <w:rPr>
          <w:highlight w:val="none"/>
        </w:rPr>
      </w:pPr>
      <w:bookmarkStart w:id="195" w:name="_Toc73958788"/>
      <w:bookmarkStart w:id="196" w:name="_Toc73622021"/>
      <w:bookmarkStart w:id="197" w:name="_Toc20700"/>
      <w:r>
        <w:rPr>
          <w:highlight w:val="none"/>
        </w:rPr>
        <w:t>6.2　</w:t>
      </w:r>
      <w:bookmarkEnd w:id="195"/>
      <w:bookmarkEnd w:id="196"/>
      <w:r>
        <w:rPr>
          <w:highlight w:val="none"/>
        </w:rPr>
        <w:t>样块尺寸</w:t>
      </w:r>
      <w:bookmarkEnd w:id="197"/>
    </w:p>
    <w:p w14:paraId="612E33AE">
      <w:pPr>
        <w:pStyle w:val="3"/>
        <w:keepNext w:val="0"/>
        <w:keepLines w:val="0"/>
        <w:pageBreakBefore w:val="0"/>
        <w:widowControl w:val="0"/>
        <w:kinsoku/>
        <w:wordWrap/>
        <w:overflowPunct/>
        <w:topLinePunct w:val="0"/>
        <w:autoSpaceDE/>
        <w:autoSpaceDN/>
        <w:bidi w:val="0"/>
        <w:adjustRightInd/>
        <w:snapToGrid/>
        <w:spacing w:line="240" w:lineRule="auto"/>
        <w:ind w:firstLine="404" w:firstLineChars="200"/>
        <w:textAlignment w:val="auto"/>
        <w:rPr>
          <w:rFonts w:hint="eastAsia" w:ascii="宋体" w:hAnsi="宋体" w:eastAsia="宋体" w:cs="宋体"/>
          <w:spacing w:val="-5"/>
          <w:sz w:val="21"/>
          <w:szCs w:val="21"/>
          <w:highlight w:val="none"/>
          <w:lang w:eastAsia="zh-CN"/>
        </w:rPr>
      </w:pPr>
      <w:r>
        <w:rPr>
          <w:rFonts w:hint="eastAsia" w:cs="宋体"/>
          <w:spacing w:val="-4"/>
          <w:sz w:val="21"/>
          <w:szCs w:val="21"/>
          <w:highlight w:val="none"/>
          <w:lang w:val="en-US" w:eastAsia="zh-CN"/>
        </w:rPr>
        <w:t>制品的</w:t>
      </w:r>
      <w:r>
        <w:rPr>
          <w:rFonts w:hint="eastAsia" w:ascii="宋体" w:hAnsi="宋体" w:eastAsia="宋体" w:cs="宋体"/>
          <w:spacing w:val="-4"/>
          <w:sz w:val="21"/>
          <w:szCs w:val="21"/>
          <w:highlight w:val="none"/>
          <w:lang w:eastAsia="zh-CN"/>
        </w:rPr>
        <w:t>取样尺寸</w:t>
      </w:r>
      <w:r>
        <w:rPr>
          <w:rFonts w:hint="eastAsia" w:cs="宋体"/>
          <w:spacing w:val="-4"/>
          <w:sz w:val="21"/>
          <w:szCs w:val="21"/>
          <w:highlight w:val="none"/>
          <w:lang w:eastAsia="zh-CN"/>
        </w:rPr>
        <w:t>为</w:t>
      </w:r>
      <w:r>
        <w:rPr>
          <w:rFonts w:hint="eastAsia" w:ascii="宋体" w:hAnsi="宋体" w:eastAsia="宋体" w:cs="宋体"/>
          <w:spacing w:val="-4"/>
          <w:sz w:val="21"/>
          <w:szCs w:val="21"/>
          <w:highlight w:val="none"/>
          <w:lang w:eastAsia="zh-CN"/>
        </w:rPr>
        <w:t>150</w:t>
      </w:r>
      <w:r>
        <w:rPr>
          <w:rFonts w:hint="default" w:ascii="Times New Roman" w:hAnsi="Times New Roman" w:eastAsia="宋体" w:cs="Times New Roman"/>
          <w:spacing w:val="-4"/>
          <w:sz w:val="21"/>
          <w:szCs w:val="21"/>
          <w:highlight w:val="none"/>
          <w:lang w:eastAsia="zh-CN"/>
        </w:rPr>
        <w:t>mm</w:t>
      </w:r>
      <w:r>
        <w:rPr>
          <w:rFonts w:hint="eastAsia" w:ascii="宋体" w:hAnsi="宋体" w:eastAsia="宋体" w:cs="宋体"/>
          <w:spacing w:val="-4"/>
          <w:sz w:val="21"/>
          <w:szCs w:val="21"/>
          <w:highlight w:val="none"/>
          <w:lang w:eastAsia="zh-CN"/>
        </w:rPr>
        <w:t>×</w:t>
      </w:r>
      <w:r>
        <w:rPr>
          <w:rFonts w:hint="eastAsia" w:ascii="宋体" w:hAnsi="宋体" w:eastAsia="宋体" w:cs="宋体"/>
          <w:spacing w:val="-5"/>
          <w:sz w:val="21"/>
          <w:szCs w:val="21"/>
          <w:highlight w:val="none"/>
          <w:lang w:eastAsia="zh-CN"/>
        </w:rPr>
        <w:t>1</w:t>
      </w:r>
      <w:r>
        <w:rPr>
          <w:rFonts w:hint="eastAsia" w:ascii="宋体" w:hAnsi="宋体" w:eastAsia="宋体" w:cs="宋体"/>
          <w:spacing w:val="-5"/>
          <w:sz w:val="21"/>
          <w:szCs w:val="21"/>
          <w:highlight w:val="none"/>
          <w:lang w:val="en-US" w:eastAsia="zh-CN"/>
        </w:rPr>
        <w:t>3</w:t>
      </w:r>
      <w:r>
        <w:rPr>
          <w:rFonts w:hint="eastAsia" w:ascii="宋体" w:hAnsi="宋体" w:eastAsia="宋体" w:cs="宋体"/>
          <w:spacing w:val="-5"/>
          <w:sz w:val="21"/>
          <w:szCs w:val="21"/>
          <w:highlight w:val="none"/>
          <w:lang w:eastAsia="zh-CN"/>
        </w:rPr>
        <w:t>0</w:t>
      </w:r>
      <w:r>
        <w:rPr>
          <w:rFonts w:hint="default" w:ascii="Times New Roman" w:hAnsi="Times New Roman" w:eastAsia="宋体" w:cs="Times New Roman"/>
          <w:spacing w:val="-5"/>
          <w:sz w:val="21"/>
          <w:szCs w:val="21"/>
          <w:highlight w:val="none"/>
          <w:lang w:eastAsia="zh-CN"/>
        </w:rPr>
        <w:t>mm</w:t>
      </w:r>
      <w:r>
        <w:rPr>
          <w:rFonts w:hint="eastAsia" w:ascii="宋体" w:hAnsi="宋体" w:eastAsia="宋体" w:cs="宋体"/>
          <w:spacing w:val="-4"/>
          <w:sz w:val="21"/>
          <w:szCs w:val="21"/>
          <w:highlight w:val="none"/>
          <w:lang w:eastAsia="zh-CN"/>
        </w:rPr>
        <w:t>×</w:t>
      </w:r>
      <w:r>
        <w:rPr>
          <w:rFonts w:hint="eastAsia" w:ascii="宋体" w:hAnsi="宋体" w:eastAsia="宋体" w:cs="宋体"/>
          <w:spacing w:val="-5"/>
          <w:sz w:val="21"/>
          <w:szCs w:val="21"/>
          <w:highlight w:val="none"/>
          <w:lang w:eastAsia="zh-CN"/>
        </w:rPr>
        <w:t>1</w:t>
      </w:r>
      <w:r>
        <w:rPr>
          <w:rFonts w:hint="eastAsia" w:cs="宋体"/>
          <w:spacing w:val="-5"/>
          <w:sz w:val="21"/>
          <w:szCs w:val="21"/>
          <w:highlight w:val="none"/>
          <w:lang w:val="en-US" w:eastAsia="zh-CN"/>
        </w:rPr>
        <w:t>2</w:t>
      </w:r>
      <w:r>
        <w:rPr>
          <w:rFonts w:hint="eastAsia" w:ascii="宋体" w:hAnsi="宋体" w:eastAsia="宋体" w:cs="宋体"/>
          <w:spacing w:val="-5"/>
          <w:sz w:val="21"/>
          <w:szCs w:val="21"/>
          <w:highlight w:val="none"/>
          <w:lang w:eastAsia="zh-CN"/>
        </w:rPr>
        <w:t>0</w:t>
      </w:r>
      <w:r>
        <w:rPr>
          <w:rFonts w:hint="default" w:ascii="Times New Roman" w:hAnsi="Times New Roman" w:eastAsia="宋体" w:cs="Times New Roman"/>
          <w:spacing w:val="-5"/>
          <w:sz w:val="21"/>
          <w:szCs w:val="21"/>
          <w:highlight w:val="none"/>
          <w:lang w:eastAsia="zh-CN"/>
        </w:rPr>
        <w:t>mm</w:t>
      </w:r>
      <w:r>
        <w:rPr>
          <w:rFonts w:hint="eastAsia" w:ascii="宋体" w:hAnsi="宋体" w:eastAsia="宋体" w:cs="宋体"/>
          <w:spacing w:val="-5"/>
          <w:sz w:val="21"/>
          <w:szCs w:val="21"/>
          <w:highlight w:val="none"/>
          <w:lang w:eastAsia="zh-CN"/>
        </w:rPr>
        <w:t>。</w:t>
      </w:r>
    </w:p>
    <w:p w14:paraId="793EC6EF">
      <w:pPr>
        <w:pStyle w:val="61"/>
        <w:spacing w:before="156" w:after="156"/>
        <w:rPr>
          <w:rFonts w:hint="eastAsia" w:eastAsia="黑体"/>
          <w:highlight w:val="none"/>
          <w:lang w:eastAsia="zh-CN"/>
        </w:rPr>
      </w:pPr>
      <w:r>
        <w:rPr>
          <w:highlight w:val="none"/>
        </w:rPr>
        <w:t>6.</w:t>
      </w:r>
      <w:r>
        <w:rPr>
          <w:rFonts w:hint="eastAsia"/>
          <w:highlight w:val="none"/>
          <w:lang w:val="en-US" w:eastAsia="zh-CN"/>
        </w:rPr>
        <w:t>3</w:t>
      </w:r>
      <w:r>
        <w:rPr>
          <w:highlight w:val="none"/>
        </w:rPr>
        <w:t>　样块</w:t>
      </w:r>
      <w:r>
        <w:rPr>
          <w:rFonts w:hint="eastAsia"/>
          <w:highlight w:val="none"/>
          <w:lang w:val="en-US" w:eastAsia="zh-CN"/>
        </w:rPr>
        <w:t>数量</w:t>
      </w:r>
    </w:p>
    <w:p w14:paraId="619A299A">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pacing w:val="-5"/>
          <w:sz w:val="21"/>
          <w:szCs w:val="21"/>
          <w:highlight w:val="none"/>
          <w:lang w:val="en-US" w:eastAsia="zh-CN"/>
        </w:rPr>
      </w:pPr>
      <w:r>
        <w:rPr>
          <w:rFonts w:ascii="Times New Roman" w:hAnsi="Times New Roman" w:cs="Times New Roman"/>
          <w:sz w:val="21"/>
          <w:szCs w:val="21"/>
          <w:highlight w:val="none"/>
          <w:lang w:eastAsia="zh-CN"/>
        </w:rPr>
        <w:t>RA</w:t>
      </w:r>
      <w:r>
        <w:rPr>
          <w:rFonts w:ascii="Times New Roman" w:hAnsi="Times New Roman" w:cs="Times New Roman"/>
          <w:spacing w:val="9"/>
          <w:sz w:val="21"/>
          <w:szCs w:val="21"/>
          <w:highlight w:val="none"/>
          <w:lang w:eastAsia="zh-CN"/>
        </w:rPr>
        <w:t>-M</w:t>
      </w:r>
      <w:r>
        <w:rPr>
          <w:rFonts w:hint="eastAsia"/>
          <w:spacing w:val="9"/>
          <w:sz w:val="21"/>
          <w:szCs w:val="21"/>
          <w:highlight w:val="none"/>
          <w:lang w:eastAsia="zh-CN"/>
        </w:rPr>
        <w:t>砖</w:t>
      </w:r>
      <w:r>
        <w:rPr>
          <w:rFonts w:hint="eastAsia"/>
          <w:spacing w:val="9"/>
          <w:sz w:val="21"/>
          <w:szCs w:val="21"/>
          <w:highlight w:val="none"/>
          <w:lang w:val="en-US" w:eastAsia="zh-CN"/>
        </w:rPr>
        <w:t>送检1块试样，</w:t>
      </w:r>
      <w:r>
        <w:rPr>
          <w:rFonts w:hint="eastAsia" w:ascii="Times New Roman" w:hAnsi="Times New Roman" w:cs="Times New Roman"/>
          <w:sz w:val="21"/>
          <w:szCs w:val="21"/>
          <w:highlight w:val="none"/>
          <w:lang w:eastAsia="zh-CN"/>
        </w:rPr>
        <w:t>RA-H</w:t>
      </w:r>
      <w:r>
        <w:rPr>
          <w:rFonts w:hint="eastAsia"/>
          <w:spacing w:val="9"/>
          <w:sz w:val="21"/>
          <w:szCs w:val="21"/>
          <w:highlight w:val="none"/>
          <w:lang w:eastAsia="zh-CN"/>
        </w:rPr>
        <w:t>砖</w:t>
      </w:r>
      <w:r>
        <w:rPr>
          <w:rFonts w:hint="eastAsia"/>
          <w:spacing w:val="9"/>
          <w:sz w:val="21"/>
          <w:szCs w:val="21"/>
          <w:highlight w:val="none"/>
          <w:lang w:val="en-US" w:eastAsia="zh-CN"/>
        </w:rPr>
        <w:t>送检2块试样或由供需双方商定。</w:t>
      </w:r>
    </w:p>
    <w:p w14:paraId="448178B2">
      <w:pPr>
        <w:pStyle w:val="61"/>
        <w:spacing w:before="156" w:after="156"/>
        <w:rPr>
          <w:highlight w:val="none"/>
        </w:rPr>
      </w:pPr>
      <w:bookmarkStart w:id="198" w:name="_Toc73958789"/>
      <w:bookmarkStart w:id="199" w:name="_Toc73622022"/>
      <w:bookmarkStart w:id="200" w:name="_Toc32218"/>
      <w:r>
        <w:rPr>
          <w:highlight w:val="none"/>
        </w:rPr>
        <w:t>6.</w:t>
      </w:r>
      <w:r>
        <w:rPr>
          <w:rFonts w:hint="eastAsia"/>
          <w:highlight w:val="none"/>
          <w:lang w:val="en-US" w:eastAsia="zh-CN"/>
        </w:rPr>
        <w:t>4</w:t>
      </w:r>
      <w:r>
        <w:rPr>
          <w:highlight w:val="none"/>
        </w:rPr>
        <w:t>　</w:t>
      </w:r>
      <w:bookmarkEnd w:id="198"/>
      <w:bookmarkEnd w:id="199"/>
      <w:r>
        <w:rPr>
          <w:highlight w:val="none"/>
        </w:rPr>
        <w:t>制样方法</w:t>
      </w:r>
      <w:bookmarkEnd w:id="200"/>
    </w:p>
    <w:p w14:paraId="36002061">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textAlignment w:val="auto"/>
        <w:rPr>
          <w:rFonts w:hint="eastAsia"/>
          <w:sz w:val="20"/>
          <w:szCs w:val="20"/>
          <w:highlight w:val="none"/>
          <w:lang w:eastAsia="zh-CN"/>
        </w:rPr>
      </w:pPr>
      <w:r>
        <w:rPr>
          <w:rFonts w:hint="eastAsia" w:ascii="黑体" w:hAnsi="黑体" w:eastAsia="黑体" w:cs="黑体"/>
          <w:spacing w:val="8"/>
          <w:kern w:val="0"/>
          <w:sz w:val="21"/>
          <w:szCs w:val="21"/>
          <w:highlight w:val="none"/>
          <w:lang w:eastAsia="zh-CN"/>
        </w:rPr>
        <w:t>6.</w:t>
      </w:r>
      <w:r>
        <w:rPr>
          <w:rFonts w:hint="eastAsia" w:ascii="黑体" w:hAnsi="黑体" w:eastAsia="黑体" w:cs="黑体"/>
          <w:spacing w:val="8"/>
          <w:kern w:val="0"/>
          <w:sz w:val="21"/>
          <w:szCs w:val="21"/>
          <w:highlight w:val="none"/>
          <w:lang w:val="en-US" w:eastAsia="zh-CN"/>
        </w:rPr>
        <w:t>4</w:t>
      </w:r>
      <w:r>
        <w:rPr>
          <w:rFonts w:hint="eastAsia" w:ascii="黑体" w:hAnsi="黑体" w:eastAsia="黑体" w:cs="黑体"/>
          <w:spacing w:val="8"/>
          <w:kern w:val="0"/>
          <w:sz w:val="21"/>
          <w:szCs w:val="21"/>
          <w:highlight w:val="none"/>
          <w:lang w:eastAsia="zh-CN"/>
        </w:rPr>
        <w:t>.1</w:t>
      </w:r>
      <w:r>
        <w:rPr>
          <w:rStyle w:val="58"/>
          <w:rFonts w:hint="eastAsia"/>
          <w:sz w:val="21"/>
          <w:szCs w:val="20"/>
          <w:highlight w:val="none"/>
          <w:lang w:eastAsia="zh-CN"/>
        </w:rPr>
        <w:t xml:space="preserve"> </w:t>
      </w:r>
      <w:r>
        <w:rPr>
          <w:rFonts w:ascii="Times New Roman" w:hAnsi="Times New Roman" w:cs="Times New Roman"/>
          <w:sz w:val="21"/>
          <w:szCs w:val="21"/>
          <w:highlight w:val="none"/>
          <w:lang w:eastAsia="zh-CN"/>
        </w:rPr>
        <w:t>RA</w:t>
      </w:r>
      <w:r>
        <w:rPr>
          <w:rFonts w:ascii="Times New Roman" w:hAnsi="Times New Roman" w:cs="Times New Roman"/>
          <w:spacing w:val="9"/>
          <w:sz w:val="21"/>
          <w:szCs w:val="21"/>
          <w:highlight w:val="none"/>
          <w:lang w:eastAsia="zh-CN"/>
        </w:rPr>
        <w:t>-M</w:t>
      </w:r>
      <w:r>
        <w:rPr>
          <w:rFonts w:hint="eastAsia"/>
          <w:spacing w:val="9"/>
          <w:sz w:val="21"/>
          <w:szCs w:val="21"/>
          <w:highlight w:val="none"/>
          <w:lang w:eastAsia="zh-CN"/>
        </w:rPr>
        <w:t>砖</w:t>
      </w:r>
      <w:r>
        <w:rPr>
          <w:rFonts w:hint="eastAsia"/>
          <w:spacing w:val="9"/>
          <w:sz w:val="21"/>
          <w:szCs w:val="21"/>
          <w:highlight w:val="none"/>
          <w:lang w:val="en-US" w:eastAsia="zh-CN"/>
        </w:rPr>
        <w:t>制样示例见图5、图6，</w:t>
      </w:r>
      <w:r>
        <w:rPr>
          <w:rFonts w:hint="eastAsia"/>
          <w:spacing w:val="9"/>
          <w:sz w:val="21"/>
          <w:szCs w:val="21"/>
          <w:highlight w:val="none"/>
          <w:lang w:eastAsia="zh-CN"/>
        </w:rPr>
        <w:t>切除工作</w:t>
      </w:r>
      <w:r>
        <w:rPr>
          <w:rFonts w:hint="eastAsia"/>
          <w:spacing w:val="9"/>
          <w:sz w:val="21"/>
          <w:szCs w:val="21"/>
          <w:highlight w:val="none"/>
          <w:lang w:val="en-US" w:eastAsia="zh-CN"/>
        </w:rPr>
        <w:t>毛面</w:t>
      </w:r>
      <w:r>
        <w:rPr>
          <w:rFonts w:hint="eastAsia"/>
          <w:spacing w:val="9"/>
          <w:sz w:val="21"/>
          <w:szCs w:val="21"/>
          <w:highlight w:val="none"/>
          <w:lang w:eastAsia="zh-CN"/>
        </w:rPr>
        <w:t>表皮以上20</w:t>
      </w:r>
      <w:r>
        <w:rPr>
          <w:rFonts w:ascii="Times New Roman" w:hAnsi="Times New Roman" w:cs="Times New Roman"/>
          <w:sz w:val="21"/>
          <w:szCs w:val="21"/>
          <w:highlight w:val="none"/>
          <w:lang w:eastAsia="zh-CN"/>
        </w:rPr>
        <w:t>mm</w:t>
      </w:r>
      <w:r>
        <w:rPr>
          <w:rFonts w:hint="eastAsia"/>
          <w:spacing w:val="9"/>
          <w:sz w:val="21"/>
          <w:szCs w:val="21"/>
          <w:highlight w:val="none"/>
          <w:lang w:eastAsia="zh-CN"/>
        </w:rPr>
        <w:t>厚的部分，</w:t>
      </w:r>
      <w:r>
        <w:rPr>
          <w:rFonts w:hint="eastAsia"/>
          <w:spacing w:val="8"/>
          <w:sz w:val="21"/>
          <w:szCs w:val="21"/>
          <w:highlight w:val="none"/>
          <w:lang w:eastAsia="zh-CN"/>
        </w:rPr>
        <w:t>试验样品从余下的样品中</w:t>
      </w:r>
      <w:r>
        <w:rPr>
          <w:rFonts w:hint="eastAsia"/>
          <w:spacing w:val="1"/>
          <w:sz w:val="21"/>
          <w:szCs w:val="21"/>
          <w:highlight w:val="none"/>
          <w:lang w:eastAsia="zh-CN"/>
        </w:rPr>
        <w:t>切取。其中第一层取样顺序如图</w:t>
      </w:r>
      <w:r>
        <w:rPr>
          <w:rFonts w:hint="eastAsia"/>
          <w:spacing w:val="1"/>
          <w:sz w:val="21"/>
          <w:szCs w:val="21"/>
          <w:highlight w:val="none"/>
          <w:lang w:val="en-US" w:eastAsia="zh-CN"/>
        </w:rPr>
        <w:t>6</w:t>
      </w:r>
      <w:r>
        <w:rPr>
          <w:rFonts w:hint="eastAsia"/>
          <w:spacing w:val="1"/>
          <w:sz w:val="21"/>
          <w:szCs w:val="21"/>
          <w:highlight w:val="none"/>
          <w:lang w:eastAsia="zh-CN"/>
        </w:rPr>
        <w:t>所示，</w:t>
      </w:r>
      <w:r>
        <w:rPr>
          <w:rFonts w:ascii="Times New Roman" w:hAnsi="Times New Roman" w:eastAsia="黑体" w:cs="Times New Roman"/>
          <w:spacing w:val="1"/>
          <w:sz w:val="21"/>
          <w:szCs w:val="21"/>
          <w:highlight w:val="none"/>
          <w:lang w:eastAsia="zh-CN"/>
        </w:rPr>
        <w:t>A</w:t>
      </w:r>
      <w:r>
        <w:rPr>
          <w:rFonts w:hint="eastAsia"/>
          <w:spacing w:val="1"/>
          <w:sz w:val="21"/>
          <w:szCs w:val="21"/>
          <w:highlight w:val="none"/>
          <w:lang w:eastAsia="zh-CN"/>
        </w:rPr>
        <w:t>：化学成分、晶相组成，</w:t>
      </w:r>
      <w:r>
        <w:rPr>
          <w:rFonts w:ascii="Times New Roman" w:hAnsi="Times New Roman" w:cs="Times New Roman"/>
          <w:spacing w:val="1"/>
          <w:sz w:val="21"/>
          <w:szCs w:val="21"/>
          <w:highlight w:val="none"/>
          <w:lang w:eastAsia="zh-CN"/>
        </w:rPr>
        <w:t>B</w:t>
      </w:r>
      <w:r>
        <w:rPr>
          <w:rFonts w:hint="eastAsia"/>
          <w:spacing w:val="1"/>
          <w:sz w:val="21"/>
          <w:szCs w:val="21"/>
          <w:highlight w:val="none"/>
          <w:lang w:eastAsia="zh-CN"/>
        </w:rPr>
        <w:t>：静态下抗玻璃液侵蚀速度，</w:t>
      </w:r>
      <w:r>
        <w:rPr>
          <w:rFonts w:ascii="Times New Roman" w:hAnsi="Times New Roman" w:cs="Times New Roman"/>
          <w:spacing w:val="1"/>
          <w:sz w:val="21"/>
          <w:szCs w:val="21"/>
          <w:highlight w:val="none"/>
          <w:lang w:eastAsia="zh-CN"/>
        </w:rPr>
        <w:t>C</w:t>
      </w:r>
      <w:r>
        <w:rPr>
          <w:rFonts w:hint="eastAsia"/>
          <w:spacing w:val="1"/>
          <w:sz w:val="21"/>
          <w:szCs w:val="21"/>
          <w:highlight w:val="none"/>
          <w:lang w:eastAsia="zh-CN"/>
        </w:rPr>
        <w:t>：</w:t>
      </w:r>
      <w:r>
        <w:rPr>
          <w:rFonts w:hint="eastAsia"/>
          <w:sz w:val="21"/>
          <w:szCs w:val="21"/>
          <w:highlight w:val="none"/>
          <w:lang w:eastAsia="zh-CN"/>
        </w:rPr>
        <w:t>气泡析出率，常温</w:t>
      </w:r>
      <w:r>
        <w:rPr>
          <w:rFonts w:hint="eastAsia"/>
          <w:sz w:val="21"/>
          <w:szCs w:val="21"/>
          <w:highlight w:val="none"/>
          <w:lang w:val="en-US" w:eastAsia="zh-CN"/>
        </w:rPr>
        <w:t>耐压强度样品制为</w:t>
      </w:r>
      <w: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t>长（</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40±0.5</w:t>
      </w:r>
      <w: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t>）mm×宽（</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40±0.5</w:t>
      </w:r>
      <w: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t>）mm×高（</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40±0.5</w:t>
      </w:r>
      <w:r>
        <w:rPr>
          <w:rFonts w:hint="eastAsia" w:ascii="Times New Roman" w:hAnsi="Times New Roman" w:eastAsia="宋体" w:cs="宋体"/>
          <w:color w:val="000000" w:themeColor="text1"/>
          <w:kern w:val="0"/>
          <w:sz w:val="21"/>
          <w:szCs w:val="21"/>
          <w:highlight w:val="none"/>
          <w:lang w:val="en-US" w:eastAsia="zh-CN" w:bidi="ar-SA"/>
          <w14:textFill>
            <w14:solidFill>
              <w14:schemeClr w14:val="tx1"/>
            </w14:solidFill>
          </w14:textFill>
        </w:rPr>
        <w:t>）mm的立方体</w:t>
      </w:r>
      <w:r>
        <w:rPr>
          <w:rFonts w:hint="eastAsia"/>
          <w:sz w:val="21"/>
          <w:szCs w:val="21"/>
          <w:highlight w:val="none"/>
          <w:lang w:val="en-US" w:eastAsia="zh-CN"/>
        </w:rPr>
        <w:t>，</w:t>
      </w:r>
      <w:r>
        <w:rPr>
          <w:rFonts w:hint="eastAsia"/>
          <w:spacing w:val="9"/>
          <w:sz w:val="21"/>
          <w:szCs w:val="21"/>
          <w:highlight w:val="none"/>
          <w:lang w:eastAsia="zh-CN"/>
        </w:rPr>
        <w:t>致密部分体积密度和显气孔率</w:t>
      </w:r>
      <w:r>
        <w:rPr>
          <w:rFonts w:hint="eastAsia"/>
          <w:spacing w:val="-1"/>
          <w:sz w:val="21"/>
          <w:szCs w:val="21"/>
          <w:highlight w:val="none"/>
          <w:lang w:eastAsia="zh-CN"/>
        </w:rPr>
        <w:t>按</w:t>
      </w:r>
      <w:r>
        <w:rPr>
          <w:rFonts w:ascii="Times New Roman" w:hAnsi="Times New Roman" w:cs="Times New Roman"/>
          <w:spacing w:val="-1"/>
          <w:sz w:val="21"/>
          <w:szCs w:val="21"/>
          <w:highlight w:val="none"/>
          <w:lang w:eastAsia="zh-CN"/>
        </w:rPr>
        <w:t>GB/T</w:t>
      </w:r>
      <w:r>
        <w:rPr>
          <w:rFonts w:hint="eastAsia"/>
          <w:spacing w:val="-1"/>
          <w:sz w:val="21"/>
          <w:szCs w:val="21"/>
          <w:highlight w:val="none"/>
          <w:lang w:eastAsia="zh-CN"/>
        </w:rPr>
        <w:t xml:space="preserve"> 7321从余下样品中制样。</w:t>
      </w:r>
    </w:p>
    <w:p w14:paraId="7A9191AB">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textAlignment w:val="auto"/>
        <w:rPr>
          <w:rFonts w:hint="eastAsia"/>
          <w:spacing w:val="9"/>
          <w:sz w:val="21"/>
          <w:szCs w:val="21"/>
          <w:highlight w:val="none"/>
          <w:lang w:eastAsia="zh-CN"/>
        </w:rPr>
      </w:pPr>
      <w:r>
        <w:rPr>
          <w:rFonts w:hint="eastAsia" w:ascii="黑体" w:hAnsi="黑体" w:eastAsia="黑体" w:cs="黑体"/>
          <w:spacing w:val="8"/>
          <w:kern w:val="0"/>
          <w:sz w:val="21"/>
          <w:szCs w:val="21"/>
          <w:highlight w:val="none"/>
          <w:lang w:eastAsia="zh-CN"/>
        </w:rPr>
        <w:t>6.</w:t>
      </w:r>
      <w:r>
        <w:rPr>
          <w:rFonts w:hint="eastAsia" w:ascii="黑体" w:hAnsi="黑体" w:eastAsia="黑体" w:cs="黑体"/>
          <w:spacing w:val="8"/>
          <w:kern w:val="0"/>
          <w:sz w:val="21"/>
          <w:szCs w:val="21"/>
          <w:highlight w:val="none"/>
          <w:lang w:val="en-US" w:eastAsia="zh-CN"/>
        </w:rPr>
        <w:t>4</w:t>
      </w:r>
      <w:r>
        <w:rPr>
          <w:rFonts w:hint="eastAsia" w:ascii="黑体" w:hAnsi="黑体" w:eastAsia="黑体" w:cs="黑体"/>
          <w:spacing w:val="8"/>
          <w:kern w:val="0"/>
          <w:sz w:val="21"/>
          <w:szCs w:val="21"/>
          <w:highlight w:val="none"/>
          <w:lang w:eastAsia="zh-CN"/>
        </w:rPr>
        <w:t>.2</w:t>
      </w:r>
      <w:r>
        <w:rPr>
          <w:rFonts w:hint="eastAsia"/>
          <w:spacing w:val="9"/>
          <w:sz w:val="21"/>
          <w:szCs w:val="21"/>
          <w:highlight w:val="none"/>
          <w:lang w:eastAsia="zh-CN"/>
        </w:rPr>
        <w:t xml:space="preserve"> </w:t>
      </w:r>
      <w:r>
        <w:rPr>
          <w:rFonts w:hint="eastAsia" w:ascii="Times New Roman" w:hAnsi="Times New Roman" w:cs="Times New Roman"/>
          <w:sz w:val="21"/>
          <w:szCs w:val="21"/>
          <w:highlight w:val="none"/>
          <w:lang w:eastAsia="zh-CN"/>
        </w:rPr>
        <w:t>RA-H</w:t>
      </w:r>
      <w:r>
        <w:rPr>
          <w:rFonts w:hint="eastAsia"/>
          <w:spacing w:val="9"/>
          <w:sz w:val="21"/>
          <w:szCs w:val="21"/>
          <w:highlight w:val="none"/>
          <w:lang w:eastAsia="zh-CN"/>
        </w:rPr>
        <w:t>砖切除工作</w:t>
      </w:r>
      <w:r>
        <w:rPr>
          <w:rFonts w:hint="eastAsia"/>
          <w:spacing w:val="9"/>
          <w:sz w:val="21"/>
          <w:szCs w:val="21"/>
          <w:highlight w:val="none"/>
          <w:lang w:val="en-US" w:eastAsia="zh-CN"/>
        </w:rPr>
        <w:t>毛</w:t>
      </w:r>
      <w:r>
        <w:rPr>
          <w:rFonts w:hint="eastAsia"/>
          <w:spacing w:val="9"/>
          <w:sz w:val="21"/>
          <w:szCs w:val="21"/>
          <w:highlight w:val="none"/>
          <w:lang w:eastAsia="zh-CN"/>
        </w:rPr>
        <w:t>面表皮以上20</w:t>
      </w:r>
      <w:r>
        <w:rPr>
          <w:rFonts w:hint="default" w:ascii="Times New Roman" w:hAnsi="Times New Roman" w:cs="Times New Roman"/>
          <w:spacing w:val="9"/>
          <w:sz w:val="21"/>
          <w:szCs w:val="21"/>
          <w:highlight w:val="none"/>
          <w:lang w:eastAsia="zh-CN"/>
        </w:rPr>
        <w:t>mm</w:t>
      </w:r>
      <w:r>
        <w:rPr>
          <w:rFonts w:hint="eastAsia"/>
          <w:spacing w:val="9"/>
          <w:sz w:val="21"/>
          <w:szCs w:val="21"/>
          <w:highlight w:val="none"/>
          <w:lang w:eastAsia="zh-CN"/>
        </w:rPr>
        <w:t>厚的部分，化学</w:t>
      </w:r>
      <w:r>
        <w:rPr>
          <w:rFonts w:hint="eastAsia"/>
          <w:spacing w:val="9"/>
          <w:sz w:val="21"/>
          <w:szCs w:val="21"/>
          <w:highlight w:val="none"/>
          <w:lang w:val="en-US" w:eastAsia="zh-CN"/>
        </w:rPr>
        <w:t>成分和晶相组成</w:t>
      </w:r>
      <w:r>
        <w:rPr>
          <w:rFonts w:hint="eastAsia"/>
          <w:spacing w:val="9"/>
          <w:sz w:val="21"/>
          <w:szCs w:val="21"/>
          <w:highlight w:val="none"/>
          <w:lang w:eastAsia="zh-CN"/>
        </w:rPr>
        <w:t>从靠近表皮侧拐角处取样，</w:t>
      </w:r>
      <w:r>
        <w:rPr>
          <w:rFonts w:hint="eastAsia"/>
          <w:spacing w:val="-1"/>
          <w:sz w:val="21"/>
          <w:szCs w:val="21"/>
          <w:highlight w:val="none"/>
          <w:lang w:eastAsia="zh-CN"/>
        </w:rPr>
        <w:t>按</w:t>
      </w:r>
      <w:r>
        <w:rPr>
          <w:rFonts w:hint="eastAsia" w:ascii="Times New Roman" w:hAnsi="Times New Roman" w:cs="Times New Roman"/>
          <w:sz w:val="21"/>
          <w:szCs w:val="21"/>
          <w:highlight w:val="none"/>
          <w:lang w:val="en-US" w:eastAsia="zh-CN"/>
        </w:rPr>
        <w:t>GB/T</w:t>
      </w:r>
      <w:r>
        <w:rPr>
          <w:rFonts w:hint="eastAsia"/>
          <w:spacing w:val="-1"/>
          <w:sz w:val="21"/>
          <w:szCs w:val="21"/>
          <w:highlight w:val="none"/>
          <w:lang w:eastAsia="zh-CN"/>
        </w:rPr>
        <w:t xml:space="preserve"> 7321从余下样品中</w:t>
      </w:r>
      <w:r>
        <w:rPr>
          <w:rFonts w:hint="eastAsia"/>
          <w:spacing w:val="-1"/>
          <w:sz w:val="21"/>
          <w:szCs w:val="21"/>
          <w:highlight w:val="none"/>
          <w:lang w:val="en-US" w:eastAsia="zh-CN"/>
        </w:rPr>
        <w:t>依次制取</w:t>
      </w:r>
      <w:r>
        <w:rPr>
          <w:rFonts w:hint="eastAsia"/>
          <w:spacing w:val="9"/>
          <w:sz w:val="21"/>
          <w:szCs w:val="21"/>
          <w:highlight w:val="none"/>
          <w:lang w:eastAsia="zh-CN"/>
        </w:rPr>
        <w:t>常温耐压强度</w:t>
      </w:r>
      <w:r>
        <w:rPr>
          <w:rFonts w:hint="eastAsia"/>
          <w:spacing w:val="9"/>
          <w:sz w:val="21"/>
          <w:szCs w:val="21"/>
          <w:highlight w:val="none"/>
          <w:lang w:val="en-US" w:eastAsia="zh-CN"/>
        </w:rPr>
        <w:t>和</w:t>
      </w:r>
      <w:r>
        <w:rPr>
          <w:rFonts w:hint="eastAsia"/>
          <w:spacing w:val="9"/>
          <w:sz w:val="21"/>
          <w:szCs w:val="21"/>
          <w:highlight w:val="none"/>
          <w:lang w:eastAsia="zh-CN"/>
        </w:rPr>
        <w:t>致密部分体积密度</w:t>
      </w:r>
      <w:r>
        <w:rPr>
          <w:rFonts w:hint="eastAsia"/>
          <w:spacing w:val="9"/>
          <w:sz w:val="21"/>
          <w:szCs w:val="21"/>
          <w:highlight w:val="none"/>
          <w:lang w:val="en-US" w:eastAsia="zh-CN"/>
        </w:rPr>
        <w:t>试样</w:t>
      </w:r>
      <w:r>
        <w:rPr>
          <w:rFonts w:hint="eastAsia"/>
          <w:spacing w:val="-1"/>
          <w:sz w:val="21"/>
          <w:szCs w:val="21"/>
          <w:highlight w:val="none"/>
          <w:lang w:eastAsia="zh-CN"/>
        </w:rPr>
        <w:t>。</w:t>
      </w:r>
    </w:p>
    <w:p w14:paraId="0A976E1C">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textAlignment w:val="auto"/>
        <w:rPr>
          <w:rFonts w:hint="eastAsia"/>
          <w:spacing w:val="9"/>
          <w:sz w:val="21"/>
          <w:szCs w:val="21"/>
          <w:highlight w:val="none"/>
          <w:lang w:eastAsia="zh-CN"/>
        </w:rPr>
      </w:pPr>
      <w:r>
        <w:rPr>
          <w:rFonts w:hint="eastAsia" w:ascii="黑体" w:hAnsi="黑体" w:eastAsia="黑体" w:cs="黑体"/>
          <w:spacing w:val="8"/>
          <w:kern w:val="0"/>
          <w:sz w:val="21"/>
          <w:szCs w:val="21"/>
          <w:highlight w:val="none"/>
          <w:lang w:eastAsia="zh-CN"/>
        </w:rPr>
        <w:t>6.</w:t>
      </w:r>
      <w:r>
        <w:rPr>
          <w:rFonts w:hint="eastAsia" w:ascii="黑体" w:hAnsi="黑体" w:eastAsia="黑体" w:cs="黑体"/>
          <w:spacing w:val="8"/>
          <w:kern w:val="0"/>
          <w:sz w:val="21"/>
          <w:szCs w:val="21"/>
          <w:highlight w:val="none"/>
          <w:lang w:val="en-US" w:eastAsia="zh-CN"/>
        </w:rPr>
        <w:t>4</w:t>
      </w:r>
      <w:r>
        <w:rPr>
          <w:rFonts w:hint="eastAsia" w:ascii="黑体" w:hAnsi="黑体" w:eastAsia="黑体" w:cs="黑体"/>
          <w:spacing w:val="8"/>
          <w:kern w:val="0"/>
          <w:sz w:val="21"/>
          <w:szCs w:val="21"/>
          <w:highlight w:val="none"/>
          <w:lang w:eastAsia="zh-CN"/>
        </w:rPr>
        <w:t>.3</w:t>
      </w:r>
      <w:r>
        <w:rPr>
          <w:rFonts w:hint="eastAsia"/>
          <w:spacing w:val="9"/>
          <w:sz w:val="21"/>
          <w:szCs w:val="21"/>
          <w:highlight w:val="none"/>
          <w:lang w:eastAsia="zh-CN"/>
        </w:rPr>
        <w:t xml:space="preserve"> 化学成分也可以从生产该批产品的炉嘴料中取样并按</w:t>
      </w:r>
      <w:r>
        <w:rPr>
          <w:rFonts w:hint="eastAsia" w:ascii="Times New Roman" w:hAnsi="Times New Roman" w:cs="Times New Roman"/>
          <w:sz w:val="21"/>
          <w:szCs w:val="21"/>
          <w:highlight w:val="none"/>
          <w:lang w:val="en-US" w:eastAsia="zh-CN"/>
        </w:rPr>
        <w:t>GB/T</w:t>
      </w:r>
      <w:r>
        <w:rPr>
          <w:rFonts w:hint="eastAsia"/>
          <w:spacing w:val="9"/>
          <w:sz w:val="21"/>
          <w:szCs w:val="21"/>
          <w:highlight w:val="none"/>
          <w:lang w:eastAsia="zh-CN"/>
        </w:rPr>
        <w:t xml:space="preserve"> 7321制样。</w:t>
      </w:r>
    </w:p>
    <w:p w14:paraId="6748FDB9">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jc w:val="right"/>
        <w:textAlignment w:val="auto"/>
        <w:rPr>
          <w:rFonts w:hint="eastAsia" w:hAnsi="Calibri" w:cs="Times New Roman"/>
          <w:sz w:val="18"/>
          <w:szCs w:val="18"/>
          <w:highlight w:val="none"/>
          <w:lang w:eastAsia="zh-CN"/>
        </w:rPr>
      </w:pPr>
    </w:p>
    <w:p w14:paraId="2C70B01C">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jc w:val="right"/>
        <w:textAlignment w:val="auto"/>
        <w:rPr>
          <w:rFonts w:hint="eastAsia" w:hAnsi="Calibri" w:cs="Times New Roman"/>
          <w:sz w:val="18"/>
          <w:szCs w:val="18"/>
          <w:highlight w:val="none"/>
          <w:lang w:eastAsia="zh-CN"/>
        </w:rPr>
      </w:pPr>
    </w:p>
    <w:p w14:paraId="50F20813">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jc w:val="right"/>
        <w:textAlignment w:val="auto"/>
        <w:rPr>
          <w:rFonts w:hint="eastAsia" w:hAnsi="Calibri" w:cs="Times New Roman"/>
          <w:sz w:val="18"/>
          <w:szCs w:val="18"/>
          <w:highlight w:val="none"/>
          <w:lang w:eastAsia="zh-CN"/>
        </w:rPr>
      </w:pPr>
    </w:p>
    <w:p w14:paraId="7EC9712F">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right="40" w:firstLine="0"/>
        <w:jc w:val="right"/>
        <w:textAlignment w:val="auto"/>
        <w:rPr>
          <w:rFonts w:hint="eastAsia"/>
          <w:b/>
          <w:bCs/>
          <w:position w:val="-53"/>
          <w:highlight w:val="none"/>
          <w:lang w:eastAsia="zh-CN"/>
        </w:rPr>
      </w:pPr>
      <w:r>
        <w:rPr>
          <w:rFonts w:hint="eastAsia" w:hAnsi="Calibri" w:cs="Times New Roman"/>
          <w:sz w:val="18"/>
          <w:szCs w:val="18"/>
          <w:highlight w:val="none"/>
          <w:lang w:eastAsia="zh-CN"/>
        </w:rPr>
        <w:t>单位为毫米</w:t>
      </w:r>
    </w:p>
    <w:p w14:paraId="157C1A26">
      <w:pPr>
        <w:pStyle w:val="18"/>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jc w:val="center"/>
        <w:textAlignment w:val="auto"/>
        <w:rPr>
          <w:rFonts w:hint="eastAsia"/>
          <w:highlight w:val="none"/>
          <w:lang w:eastAsia="zh-CN"/>
        </w:rPr>
      </w:pPr>
      <w:r>
        <w:rPr>
          <w:highlight w:val="none"/>
        </w:rPr>
        <w:drawing>
          <wp:inline distT="0" distB="0" distL="114300" distR="114300">
            <wp:extent cx="3618230" cy="1908175"/>
            <wp:effectExtent l="0" t="0" r="8890" b="1206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1"/>
                    <a:stretch>
                      <a:fillRect/>
                    </a:stretch>
                  </pic:blipFill>
                  <pic:spPr>
                    <a:xfrm>
                      <a:off x="0" y="0"/>
                      <a:ext cx="3618230" cy="1908175"/>
                    </a:xfrm>
                    <a:prstGeom prst="rect">
                      <a:avLst/>
                    </a:prstGeom>
                    <a:noFill/>
                    <a:ln>
                      <a:noFill/>
                    </a:ln>
                  </pic:spPr>
                </pic:pic>
              </a:graphicData>
            </a:graphic>
          </wp:inline>
        </w:drawing>
      </w:r>
    </w:p>
    <w:p w14:paraId="6F079713">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spacing w:val="-17"/>
          <w:szCs w:val="21"/>
          <w:highlight w:val="none"/>
        </w:rPr>
      </w:pPr>
      <w:r>
        <w:rPr>
          <w:rFonts w:hint="eastAsia" w:ascii="黑体" w:hAnsi="黑体" w:eastAsia="黑体"/>
          <w:highlight w:val="none"/>
        </w:rPr>
        <w:t>图</w:t>
      </w:r>
      <w:r>
        <w:rPr>
          <w:rFonts w:hint="eastAsia" w:ascii="黑体" w:hAnsi="黑体" w:eastAsia="黑体"/>
          <w:highlight w:val="none"/>
          <w:lang w:val="en-US" w:eastAsia="zh-CN"/>
        </w:rPr>
        <w:t>5</w:t>
      </w:r>
      <w:r>
        <w:rPr>
          <w:rFonts w:hint="eastAsia" w:ascii="黑体" w:hAnsi="黑体" w:eastAsia="黑体"/>
          <w:highlight w:val="none"/>
        </w:rPr>
        <w:t xml:space="preserve"> </w:t>
      </w:r>
      <w:r>
        <w:rPr>
          <w:rFonts w:hint="eastAsia" w:ascii="黑体" w:hAnsi="黑体" w:eastAsia="黑体"/>
          <w:highlight w:val="none"/>
          <w:lang w:val="en-US" w:eastAsia="zh-CN"/>
        </w:rPr>
        <w:t>RA-M砖试样</w:t>
      </w:r>
      <w:r>
        <w:rPr>
          <w:rFonts w:hint="eastAsia" w:ascii="黑体" w:hAnsi="黑体" w:eastAsia="黑体"/>
          <w:highlight w:val="none"/>
        </w:rPr>
        <w:t>取样</w:t>
      </w:r>
      <w:r>
        <w:rPr>
          <w:rFonts w:hint="eastAsia" w:ascii="黑体" w:hAnsi="黑体" w:eastAsia="黑体"/>
          <w:highlight w:val="none"/>
          <w:lang w:val="en-US" w:eastAsia="zh-CN"/>
        </w:rPr>
        <w:t>示意图</w:t>
      </w:r>
      <w:r>
        <w:rPr>
          <w:rFonts w:hint="eastAsia"/>
          <w:spacing w:val="-17"/>
          <w:szCs w:val="21"/>
          <w:highlight w:val="none"/>
        </w:rPr>
        <w:t xml:space="preserve">                                               </w:t>
      </w:r>
    </w:p>
    <w:p w14:paraId="30284B60">
      <w:pPr>
        <w:pStyle w:val="18"/>
        <w:ind w:firstLine="0" w:firstLineChars="0"/>
        <w:jc w:val="right"/>
        <w:rPr>
          <w:highlight w:val="none"/>
        </w:rPr>
      </w:pPr>
      <w:r>
        <w:rPr>
          <w:rFonts w:hint="eastAsia"/>
          <w:lang w:val="en-US" w:eastAsia="zh-CN"/>
        </w:rPr>
        <w:t xml:space="preserve">  </w:t>
      </w:r>
      <w:r>
        <w:rPr>
          <w:rFonts w:hint="eastAsia"/>
          <w:kern w:val="2"/>
          <w:sz w:val="18"/>
          <w:szCs w:val="18"/>
          <w:highlight w:val="none"/>
        </w:rPr>
        <w:t xml:space="preserve">单位为毫米  </w:t>
      </w:r>
      <w:r>
        <w:rPr>
          <w:rFonts w:hint="eastAsia"/>
          <w:spacing w:val="-17"/>
          <w:szCs w:val="21"/>
          <w:highlight w:val="none"/>
        </w:rPr>
        <w:t xml:space="preserve">                                                                                                               </w:t>
      </w:r>
    </w:p>
    <w:p w14:paraId="4FAC4CA8">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highlight w:val="none"/>
        </w:rPr>
      </w:pPr>
      <w:r>
        <w:drawing>
          <wp:inline distT="0" distB="0" distL="114300" distR="114300">
            <wp:extent cx="4806315" cy="1449705"/>
            <wp:effectExtent l="0" t="0" r="9525" b="1333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2"/>
                    <a:stretch>
                      <a:fillRect/>
                    </a:stretch>
                  </pic:blipFill>
                  <pic:spPr>
                    <a:xfrm>
                      <a:off x="0" y="0"/>
                      <a:ext cx="4806315" cy="1449705"/>
                    </a:xfrm>
                    <a:prstGeom prst="rect">
                      <a:avLst/>
                    </a:prstGeom>
                    <a:noFill/>
                    <a:ln>
                      <a:noFill/>
                    </a:ln>
                  </pic:spPr>
                </pic:pic>
              </a:graphicData>
            </a:graphic>
          </wp:inline>
        </w:drawing>
      </w:r>
    </w:p>
    <w:p w14:paraId="48BF5309">
      <w:pPr>
        <w:pStyle w:val="18"/>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highlight w:val="none"/>
          <w:lang w:eastAsia="zh-CN"/>
        </w:rPr>
      </w:pPr>
    </w:p>
    <w:p w14:paraId="3572070D">
      <w:pPr>
        <w:pStyle w:val="3"/>
        <w:keepNext w:val="0"/>
        <w:keepLines w:val="0"/>
        <w:pageBreakBefore w:val="0"/>
        <w:widowControl w:val="0"/>
        <w:kinsoku/>
        <w:wordWrap/>
        <w:overflowPunct/>
        <w:topLinePunct w:val="0"/>
        <w:autoSpaceDE/>
        <w:autoSpaceDN/>
        <w:bidi w:val="0"/>
        <w:adjustRightInd/>
        <w:snapToGrid/>
        <w:spacing w:line="240" w:lineRule="auto"/>
        <w:ind w:left="431"/>
        <w:textAlignment w:val="auto"/>
        <w:rPr>
          <w:rFonts w:hint="eastAsia"/>
          <w:spacing w:val="5"/>
          <w:kern w:val="0"/>
          <w:sz w:val="18"/>
          <w:szCs w:val="18"/>
          <w:highlight w:val="none"/>
          <w:lang w:eastAsia="zh-CN"/>
        </w:rPr>
      </w:pPr>
      <w:r>
        <w:rPr>
          <w:rFonts w:hint="eastAsia"/>
          <w:spacing w:val="5"/>
          <w:kern w:val="0"/>
          <w:sz w:val="18"/>
          <w:szCs w:val="18"/>
          <w:highlight w:val="none"/>
          <w:lang w:eastAsia="zh-CN"/>
        </w:rPr>
        <w:t>说明：</w:t>
      </w:r>
    </w:p>
    <w:p w14:paraId="72855F47">
      <w:pPr>
        <w:pStyle w:val="3"/>
        <w:keepNext w:val="0"/>
        <w:keepLines w:val="0"/>
        <w:pageBreakBefore w:val="0"/>
        <w:widowControl w:val="0"/>
        <w:kinsoku/>
        <w:wordWrap/>
        <w:overflowPunct/>
        <w:topLinePunct w:val="0"/>
        <w:autoSpaceDE/>
        <w:autoSpaceDN/>
        <w:bidi w:val="0"/>
        <w:adjustRightInd/>
        <w:snapToGrid/>
        <w:spacing w:line="240" w:lineRule="auto"/>
        <w:ind w:left="429"/>
        <w:textAlignment w:val="auto"/>
        <w:rPr>
          <w:rFonts w:hint="eastAsia"/>
          <w:spacing w:val="5"/>
          <w:kern w:val="0"/>
          <w:sz w:val="18"/>
          <w:szCs w:val="18"/>
          <w:highlight w:val="none"/>
          <w:lang w:eastAsia="zh-CN"/>
        </w:rPr>
      </w:pPr>
      <w:r>
        <w:rPr>
          <w:rFonts w:ascii="Times New Roman" w:hAnsi="Times New Roman" w:cs="Times New Roman"/>
          <w:spacing w:val="5"/>
          <w:kern w:val="0"/>
          <w:sz w:val="18"/>
          <w:szCs w:val="18"/>
          <w:highlight w:val="none"/>
          <w:lang w:eastAsia="zh-CN"/>
        </w:rPr>
        <w:t>A</w:t>
      </w:r>
      <w:r>
        <w:rPr>
          <w:rFonts w:hint="eastAsia" w:ascii="微软雅黑" w:hAnsi="微软雅黑" w:eastAsia="微软雅黑" w:cs="微软雅黑"/>
          <w:spacing w:val="5"/>
          <w:kern w:val="0"/>
          <w:sz w:val="18"/>
          <w:szCs w:val="18"/>
          <w:highlight w:val="none"/>
          <w:lang w:eastAsia="zh-CN"/>
        </w:rPr>
        <w:t>——</w:t>
      </w:r>
      <w:r>
        <w:rPr>
          <w:rFonts w:hint="eastAsia"/>
          <w:spacing w:val="5"/>
          <w:kern w:val="0"/>
          <w:sz w:val="18"/>
          <w:szCs w:val="18"/>
          <w:highlight w:val="none"/>
          <w:lang w:eastAsia="zh-CN"/>
        </w:rPr>
        <w:t>化学成分、晶相组成；</w:t>
      </w:r>
    </w:p>
    <w:p w14:paraId="01A513AB">
      <w:pPr>
        <w:pStyle w:val="3"/>
        <w:keepNext w:val="0"/>
        <w:keepLines w:val="0"/>
        <w:pageBreakBefore w:val="0"/>
        <w:widowControl w:val="0"/>
        <w:kinsoku/>
        <w:wordWrap/>
        <w:overflowPunct/>
        <w:topLinePunct w:val="0"/>
        <w:autoSpaceDE/>
        <w:autoSpaceDN/>
        <w:bidi w:val="0"/>
        <w:adjustRightInd/>
        <w:snapToGrid/>
        <w:spacing w:line="240" w:lineRule="auto"/>
        <w:ind w:left="429"/>
        <w:textAlignment w:val="auto"/>
        <w:rPr>
          <w:rFonts w:hint="eastAsia"/>
          <w:spacing w:val="5"/>
          <w:kern w:val="0"/>
          <w:sz w:val="18"/>
          <w:szCs w:val="18"/>
          <w:highlight w:val="none"/>
          <w:lang w:eastAsia="zh-CN"/>
        </w:rPr>
      </w:pPr>
      <w:r>
        <w:rPr>
          <w:rFonts w:ascii="Times New Roman" w:hAnsi="Times New Roman" w:cs="Times New Roman"/>
          <w:spacing w:val="5"/>
          <w:kern w:val="0"/>
          <w:sz w:val="18"/>
          <w:szCs w:val="18"/>
          <w:highlight w:val="none"/>
          <w:lang w:eastAsia="zh-CN"/>
        </w:rPr>
        <w:t>B</w:t>
      </w:r>
      <w:r>
        <w:rPr>
          <w:rFonts w:hint="eastAsia" w:ascii="微软雅黑" w:hAnsi="微软雅黑" w:eastAsia="微软雅黑" w:cs="微软雅黑"/>
          <w:spacing w:val="5"/>
          <w:kern w:val="0"/>
          <w:sz w:val="18"/>
          <w:szCs w:val="18"/>
          <w:highlight w:val="none"/>
          <w:lang w:eastAsia="zh-CN"/>
        </w:rPr>
        <w:t>——</w:t>
      </w:r>
      <w:r>
        <w:rPr>
          <w:rFonts w:hint="eastAsia"/>
          <w:spacing w:val="5"/>
          <w:kern w:val="0"/>
          <w:sz w:val="18"/>
          <w:szCs w:val="18"/>
          <w:highlight w:val="none"/>
          <w:lang w:eastAsia="zh-CN"/>
        </w:rPr>
        <w:t>静态下抗玻璃液侵蚀速度；</w:t>
      </w:r>
    </w:p>
    <w:p w14:paraId="34F037C0">
      <w:pPr>
        <w:pStyle w:val="3"/>
        <w:keepNext w:val="0"/>
        <w:keepLines w:val="0"/>
        <w:pageBreakBefore w:val="0"/>
        <w:widowControl w:val="0"/>
        <w:kinsoku/>
        <w:wordWrap/>
        <w:overflowPunct/>
        <w:topLinePunct w:val="0"/>
        <w:autoSpaceDE/>
        <w:autoSpaceDN/>
        <w:bidi w:val="0"/>
        <w:adjustRightInd/>
        <w:snapToGrid/>
        <w:spacing w:line="240" w:lineRule="auto"/>
        <w:ind w:left="429"/>
        <w:textAlignment w:val="auto"/>
        <w:rPr>
          <w:rFonts w:hint="eastAsia" w:ascii="黑体" w:hAnsi="黑体" w:eastAsia="黑体"/>
          <w:highlight w:val="none"/>
          <w:lang w:eastAsia="zh-CN"/>
        </w:rPr>
      </w:pPr>
      <w:r>
        <w:rPr>
          <w:rFonts w:ascii="Times New Roman" w:hAnsi="Times New Roman" w:cs="Times New Roman"/>
          <w:spacing w:val="5"/>
          <w:kern w:val="0"/>
          <w:sz w:val="18"/>
          <w:szCs w:val="18"/>
          <w:highlight w:val="none"/>
          <w:lang w:eastAsia="zh-CN"/>
        </w:rPr>
        <w:t>C</w:t>
      </w:r>
      <w:r>
        <w:rPr>
          <w:rFonts w:hint="eastAsia" w:ascii="微软雅黑" w:hAnsi="微软雅黑" w:eastAsia="微软雅黑" w:cs="微软雅黑"/>
          <w:spacing w:val="5"/>
          <w:kern w:val="0"/>
          <w:sz w:val="18"/>
          <w:szCs w:val="18"/>
          <w:highlight w:val="none"/>
          <w:lang w:eastAsia="zh-CN"/>
        </w:rPr>
        <w:t>——</w:t>
      </w:r>
      <w:r>
        <w:rPr>
          <w:rFonts w:hint="eastAsia"/>
          <w:spacing w:val="5"/>
          <w:kern w:val="0"/>
          <w:sz w:val="18"/>
          <w:szCs w:val="18"/>
          <w:highlight w:val="none"/>
          <w:lang w:eastAsia="zh-CN"/>
        </w:rPr>
        <w:t>气泡析出率。</w:t>
      </w:r>
    </w:p>
    <w:p w14:paraId="7E97962A">
      <w:pPr>
        <w:pStyle w:val="18"/>
        <w:ind w:firstLine="0" w:firstLineChars="0"/>
        <w:jc w:val="center"/>
        <w:rPr>
          <w:rFonts w:hint="eastAsia" w:eastAsia="黑体"/>
          <w:position w:val="-38"/>
          <w:highlight w:val="none"/>
          <w:lang w:eastAsia="zh-CN"/>
        </w:rPr>
      </w:pPr>
      <w:r>
        <w:rPr>
          <w:rFonts w:hint="eastAsia" w:ascii="黑体" w:hAnsi="黑体" w:eastAsia="黑体"/>
          <w:highlight w:val="none"/>
        </w:rPr>
        <w:t>图</w:t>
      </w:r>
      <w:r>
        <w:rPr>
          <w:rFonts w:hint="eastAsia" w:ascii="黑体" w:hAnsi="黑体" w:eastAsia="黑体"/>
          <w:highlight w:val="none"/>
          <w:lang w:val="en-US" w:eastAsia="zh-CN"/>
        </w:rPr>
        <w:t>6</w:t>
      </w:r>
      <w:r>
        <w:rPr>
          <w:rFonts w:hint="eastAsia" w:ascii="黑体" w:hAnsi="黑体" w:eastAsia="黑体"/>
          <w:highlight w:val="none"/>
        </w:rPr>
        <w:t xml:space="preserve"> </w:t>
      </w:r>
      <w:r>
        <w:rPr>
          <w:rFonts w:hint="eastAsia" w:ascii="黑体" w:hAnsi="黑体" w:eastAsia="黑体"/>
          <w:highlight w:val="none"/>
          <w:lang w:val="en-US" w:eastAsia="zh-CN"/>
        </w:rPr>
        <w:t>RA-M砖试样</w:t>
      </w:r>
      <w:r>
        <w:rPr>
          <w:rFonts w:hint="eastAsia" w:ascii="黑体" w:hAnsi="黑体" w:eastAsia="黑体"/>
          <w:highlight w:val="none"/>
        </w:rPr>
        <w:t>从10</w:t>
      </w:r>
      <w:r>
        <w:rPr>
          <w:rFonts w:ascii="Times New Roman" w:hAnsi="Times New Roman" w:eastAsia="黑体"/>
          <w:highlight w:val="none"/>
        </w:rPr>
        <w:t>mm</w:t>
      </w:r>
      <w:r>
        <w:rPr>
          <w:rFonts w:hint="eastAsia" w:ascii="黑体" w:hAnsi="黑体" w:eastAsia="黑体"/>
          <w:highlight w:val="none"/>
        </w:rPr>
        <w:t>厚的层面上切取</w:t>
      </w:r>
    </w:p>
    <w:p w14:paraId="1868D7A9">
      <w:pPr>
        <w:pStyle w:val="60"/>
        <w:spacing w:before="312" w:after="312"/>
        <w:rPr>
          <w:highlight w:val="none"/>
        </w:rPr>
      </w:pPr>
      <w:bookmarkStart w:id="201" w:name="_Toc73622029"/>
      <w:bookmarkStart w:id="202" w:name="_Toc73958796"/>
      <w:bookmarkStart w:id="203" w:name="_Toc29076"/>
      <w:bookmarkStart w:id="204" w:name="_Toc14229"/>
      <w:r>
        <w:rPr>
          <w:highlight w:val="none"/>
        </w:rPr>
        <w:t>7　</w:t>
      </w:r>
      <w:bookmarkEnd w:id="201"/>
      <w:bookmarkEnd w:id="202"/>
      <w:r>
        <w:rPr>
          <w:highlight w:val="none"/>
        </w:rPr>
        <w:t>试验方法</w:t>
      </w:r>
      <w:bookmarkEnd w:id="203"/>
      <w:bookmarkEnd w:id="204"/>
    </w:p>
    <w:p w14:paraId="09263D26">
      <w:pPr>
        <w:pStyle w:val="22"/>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line="240" w:lineRule="auto"/>
        <w:ind w:left="425" w:hanging="425"/>
        <w:textAlignment w:val="auto"/>
        <w:rPr>
          <w:rFonts w:ascii="Times New Roman" w:hAnsi="Times New Roman" w:eastAsia="宋体" w:cs="宋体"/>
          <w:highlight w:val="none"/>
        </w:rPr>
      </w:pPr>
      <w:bookmarkStart w:id="205" w:name="_Toc73622030"/>
      <w:bookmarkStart w:id="206" w:name="_Toc73958797"/>
      <w:bookmarkStart w:id="207" w:name="_Toc31479"/>
      <w:bookmarkStart w:id="208" w:name="_Toc6902"/>
      <w:r>
        <w:rPr>
          <w:rFonts w:hint="eastAsia" w:hAnsi="黑体" w:cs="黑体"/>
          <w:highlight w:val="none"/>
        </w:rPr>
        <w:t>7.1</w:t>
      </w:r>
      <w:r>
        <w:rPr>
          <w:rFonts w:hint="eastAsia" w:ascii="Times New Roman" w:hAnsi="Times New Roman" w:eastAsia="宋体" w:cs="宋体"/>
          <w:highlight w:val="none"/>
        </w:rPr>
        <w:t>　</w:t>
      </w:r>
      <w:bookmarkEnd w:id="205"/>
      <w:bookmarkEnd w:id="206"/>
      <w:r>
        <w:rPr>
          <w:rFonts w:hint="eastAsia" w:ascii="宋体" w:hAnsi="宋体" w:eastAsia="宋体" w:cs="宋体"/>
          <w:highlight w:val="none"/>
        </w:rPr>
        <w:t>化学成分的检验按</w:t>
      </w:r>
      <w:r>
        <w:rPr>
          <w:rFonts w:ascii="Times New Roman" w:hAnsi="Times New Roman" w:eastAsia="宋体"/>
          <w:highlight w:val="none"/>
        </w:rPr>
        <w:t>GB/T</w:t>
      </w:r>
      <w:r>
        <w:rPr>
          <w:rFonts w:hint="eastAsia" w:ascii="宋体" w:hAnsi="宋体" w:eastAsia="宋体" w:cs="宋体"/>
          <w:highlight w:val="none"/>
        </w:rPr>
        <w:t xml:space="preserve"> 6900或</w:t>
      </w:r>
      <w:r>
        <w:rPr>
          <w:rFonts w:ascii="Times New Roman" w:hAnsi="Times New Roman" w:eastAsia="宋体"/>
          <w:highlight w:val="none"/>
        </w:rPr>
        <w:t>GB/T</w:t>
      </w:r>
      <w:r>
        <w:rPr>
          <w:rFonts w:hint="eastAsia" w:ascii="宋体" w:hAnsi="宋体" w:eastAsia="宋体" w:cs="宋体"/>
          <w:highlight w:val="none"/>
        </w:rPr>
        <w:t xml:space="preserve"> 21114的规定进行。</w:t>
      </w:r>
      <w:bookmarkEnd w:id="207"/>
      <w:bookmarkEnd w:id="208"/>
    </w:p>
    <w:p w14:paraId="1B048A9D">
      <w:pPr>
        <w:pStyle w:val="22"/>
        <w:numPr>
          <w:ilvl w:val="1"/>
          <w:numId w:val="0"/>
        </w:numPr>
        <w:spacing w:before="156" w:after="156"/>
        <w:rPr>
          <w:highlight w:val="none"/>
        </w:rPr>
      </w:pPr>
      <w:bookmarkStart w:id="209" w:name="_Toc30154"/>
      <w:bookmarkStart w:id="210" w:name="_Toc73958798"/>
      <w:bookmarkStart w:id="211" w:name="_Toc29458"/>
      <w:bookmarkStart w:id="212" w:name="_Toc73622031"/>
      <w:r>
        <w:rPr>
          <w:rFonts w:hint="eastAsia" w:hAnsi="Times New Roman"/>
          <w:color w:val="000000"/>
          <w:highlight w:val="none"/>
        </w:rPr>
        <w:t>7.2　</w:t>
      </w:r>
      <w:bookmarkEnd w:id="209"/>
      <w:bookmarkEnd w:id="210"/>
      <w:bookmarkEnd w:id="211"/>
      <w:bookmarkEnd w:id="212"/>
      <w:r>
        <w:rPr>
          <w:rFonts w:hint="eastAsia" w:ascii="宋体" w:hAnsi="宋体" w:eastAsia="宋体" w:cs="宋体"/>
          <w:highlight w:val="none"/>
          <w:lang w:val="en-US" w:eastAsia="zh-CN"/>
        </w:rPr>
        <w:t>致密部分</w:t>
      </w:r>
      <w:r>
        <w:rPr>
          <w:rFonts w:hint="eastAsia" w:ascii="宋体" w:hAnsi="宋体" w:eastAsia="宋体" w:cs="宋体"/>
          <w:highlight w:val="none"/>
        </w:rPr>
        <w:t>体积密度、显气孔率的检验按</w:t>
      </w:r>
      <w:r>
        <w:rPr>
          <w:rFonts w:ascii="Times New Roman" w:hAnsi="Times New Roman" w:eastAsia="宋体"/>
          <w:highlight w:val="none"/>
        </w:rPr>
        <w:t>GB/T</w:t>
      </w:r>
      <w:r>
        <w:rPr>
          <w:rFonts w:hint="eastAsia" w:ascii="宋体" w:hAnsi="宋体" w:eastAsia="宋体" w:cs="宋体"/>
          <w:highlight w:val="none"/>
        </w:rPr>
        <w:t xml:space="preserve"> 2997的规定进行。</w:t>
      </w:r>
    </w:p>
    <w:p w14:paraId="1846582B">
      <w:pPr>
        <w:pStyle w:val="22"/>
        <w:numPr>
          <w:ilvl w:val="1"/>
          <w:numId w:val="0"/>
        </w:numPr>
        <w:spacing w:before="156" w:after="156"/>
        <w:rPr>
          <w:rFonts w:hAnsi="Times New Roman"/>
          <w:color w:val="000000"/>
          <w:highlight w:val="none"/>
        </w:rPr>
      </w:pPr>
      <w:bookmarkStart w:id="213" w:name="_Toc73622034"/>
      <w:bookmarkStart w:id="214" w:name="_Toc73958801"/>
      <w:bookmarkStart w:id="215" w:name="_Toc5329"/>
      <w:bookmarkStart w:id="216" w:name="_Toc2091"/>
      <w:r>
        <w:rPr>
          <w:rFonts w:hint="eastAsia" w:hAnsi="Times New Roman"/>
          <w:color w:val="000000"/>
          <w:highlight w:val="none"/>
        </w:rPr>
        <w:t>7.3　</w:t>
      </w:r>
      <w:bookmarkEnd w:id="213"/>
      <w:bookmarkEnd w:id="214"/>
      <w:bookmarkStart w:id="217" w:name="_Toc73958802"/>
      <w:bookmarkStart w:id="218" w:name="_Toc73622035"/>
      <w:r>
        <w:rPr>
          <w:rFonts w:hint="eastAsia" w:ascii="宋体" w:hAnsi="宋体" w:eastAsia="宋体" w:cs="宋体"/>
          <w:highlight w:val="none"/>
        </w:rPr>
        <w:t>常温耐压强度</w:t>
      </w:r>
      <w:bookmarkEnd w:id="217"/>
      <w:bookmarkEnd w:id="218"/>
      <w:bookmarkStart w:id="219" w:name="_Toc73622036"/>
      <w:bookmarkStart w:id="220" w:name="_Toc73958803"/>
      <w:r>
        <w:rPr>
          <w:rFonts w:hint="eastAsia" w:ascii="宋体" w:hAnsi="宋体" w:eastAsia="宋体" w:cs="宋体"/>
          <w:highlight w:val="none"/>
        </w:rPr>
        <w:t>的检验按</w:t>
      </w:r>
      <w:r>
        <w:rPr>
          <w:rFonts w:hint="eastAsia" w:ascii="Times New Roman" w:hAnsi="Times New Roman" w:eastAsia="宋体"/>
          <w:highlight w:val="none"/>
          <w:lang w:val="en-US" w:eastAsia="zh-CN"/>
        </w:rPr>
        <w:t xml:space="preserve">GB/T </w:t>
      </w:r>
      <w:r>
        <w:rPr>
          <w:rFonts w:hint="eastAsia" w:ascii="宋体" w:hAnsi="宋体" w:eastAsia="宋体" w:cs="宋体"/>
          <w:highlight w:val="none"/>
          <w:lang w:val="en-US" w:eastAsia="zh-CN"/>
        </w:rPr>
        <w:t>5072</w:t>
      </w:r>
      <w:r>
        <w:rPr>
          <w:rFonts w:hint="eastAsia" w:ascii="宋体" w:hAnsi="宋体" w:eastAsia="宋体" w:cs="宋体"/>
          <w:highlight w:val="none"/>
        </w:rPr>
        <w:t>的规定进行</w:t>
      </w:r>
      <w:r>
        <w:rPr>
          <w:rFonts w:hint="eastAsia" w:hAnsi="Times New Roman"/>
          <w:color w:val="000000"/>
          <w:highlight w:val="none"/>
        </w:rPr>
        <w:t>。</w:t>
      </w:r>
      <w:bookmarkEnd w:id="215"/>
      <w:bookmarkEnd w:id="216"/>
    </w:p>
    <w:p w14:paraId="5DB126C3">
      <w:pPr>
        <w:pStyle w:val="22"/>
        <w:numPr>
          <w:ilvl w:val="1"/>
          <w:numId w:val="0"/>
        </w:numPr>
        <w:spacing w:before="156" w:after="156"/>
        <w:rPr>
          <w:rFonts w:hint="eastAsia" w:ascii="宋体" w:hAnsi="宋体" w:eastAsia="宋体" w:cs="宋体"/>
          <w:highlight w:val="none"/>
        </w:rPr>
      </w:pPr>
      <w:bookmarkStart w:id="221" w:name="_Toc1707"/>
      <w:bookmarkStart w:id="222" w:name="_Toc25093"/>
      <w:r>
        <w:rPr>
          <w:rFonts w:hint="eastAsia" w:hAnsi="Times New Roman"/>
          <w:color w:val="000000"/>
          <w:highlight w:val="none"/>
        </w:rPr>
        <w:t>7.4　</w:t>
      </w:r>
      <w:r>
        <w:rPr>
          <w:rFonts w:hint="eastAsia" w:ascii="宋体" w:hAnsi="宋体" w:eastAsia="宋体" w:cs="宋体"/>
          <w:highlight w:val="none"/>
        </w:rPr>
        <w:t>气泡析出率的检验按</w:t>
      </w:r>
      <w:r>
        <w:rPr>
          <w:rFonts w:hint="eastAsia" w:ascii="Times New Roman" w:hAnsi="Times New Roman" w:eastAsia="宋体"/>
          <w:highlight w:val="none"/>
        </w:rPr>
        <w:t>JC/T</w:t>
      </w:r>
      <w:r>
        <w:rPr>
          <w:rFonts w:hint="eastAsia" w:ascii="宋体" w:hAnsi="宋体" w:eastAsia="宋体" w:cs="宋体"/>
          <w:highlight w:val="none"/>
        </w:rPr>
        <w:t xml:space="preserve"> 639的规定进行。</w:t>
      </w:r>
      <w:bookmarkEnd w:id="221"/>
      <w:bookmarkEnd w:id="222"/>
    </w:p>
    <w:p w14:paraId="7028E911">
      <w:pPr>
        <w:pStyle w:val="22"/>
        <w:numPr>
          <w:ilvl w:val="1"/>
          <w:numId w:val="0"/>
        </w:numPr>
        <w:spacing w:before="156" w:after="156"/>
        <w:rPr>
          <w:rFonts w:hAnsi="Times New Roman"/>
          <w:color w:val="000000"/>
          <w:highlight w:val="none"/>
        </w:rPr>
      </w:pPr>
      <w:bookmarkStart w:id="223" w:name="_Toc29875"/>
      <w:bookmarkStart w:id="224" w:name="_Toc3074"/>
      <w:r>
        <w:rPr>
          <w:rFonts w:hint="eastAsia" w:hAnsi="Times New Roman"/>
          <w:color w:val="000000"/>
          <w:highlight w:val="none"/>
        </w:rPr>
        <w:t>7.5　</w:t>
      </w:r>
      <w:r>
        <w:rPr>
          <w:rFonts w:hint="eastAsia" w:ascii="宋体" w:hAnsi="宋体" w:eastAsia="宋体" w:cs="宋体"/>
          <w:highlight w:val="none"/>
        </w:rPr>
        <w:t>静态下抗玻璃液侵蚀速度的检验按</w:t>
      </w:r>
      <w:r>
        <w:rPr>
          <w:rFonts w:hint="eastAsia" w:ascii="Times New Roman" w:hAnsi="Times New Roman" w:eastAsia="宋体"/>
          <w:highlight w:val="none"/>
        </w:rPr>
        <w:t>JC/T</w:t>
      </w:r>
      <w:r>
        <w:rPr>
          <w:rFonts w:hint="eastAsia" w:ascii="宋体" w:hAnsi="宋体" w:eastAsia="宋体" w:cs="宋体"/>
          <w:highlight w:val="none"/>
        </w:rPr>
        <w:t xml:space="preserve"> 806的规定进行。</w:t>
      </w:r>
      <w:bookmarkEnd w:id="223"/>
      <w:bookmarkEnd w:id="224"/>
    </w:p>
    <w:p w14:paraId="6C823665">
      <w:pPr>
        <w:pStyle w:val="22"/>
        <w:numPr>
          <w:ilvl w:val="1"/>
          <w:numId w:val="0"/>
        </w:numPr>
        <w:spacing w:before="156" w:after="156"/>
        <w:rPr>
          <w:rFonts w:hAnsi="Times New Roman"/>
          <w:color w:val="000000"/>
          <w:highlight w:val="none"/>
        </w:rPr>
      </w:pPr>
      <w:bookmarkStart w:id="225" w:name="_Toc22761"/>
      <w:bookmarkStart w:id="226" w:name="_Toc21564"/>
      <w:r>
        <w:rPr>
          <w:rFonts w:hint="eastAsia" w:hAnsi="Times New Roman"/>
          <w:color w:val="000000"/>
          <w:highlight w:val="none"/>
        </w:rPr>
        <w:t>7.6　</w:t>
      </w:r>
      <w:r>
        <w:rPr>
          <w:rFonts w:hint="eastAsia" w:ascii="宋体" w:hAnsi="宋体" w:eastAsia="宋体" w:cs="宋体"/>
          <w:highlight w:val="none"/>
        </w:rPr>
        <w:t>晶相组成的检验按</w:t>
      </w:r>
      <w:r>
        <w:rPr>
          <w:rFonts w:ascii="Times New Roman" w:hAnsi="Times New Roman" w:eastAsia="宋体"/>
          <w:highlight w:val="none"/>
        </w:rPr>
        <w:t>JY/T</w:t>
      </w:r>
      <w:r>
        <w:rPr>
          <w:rFonts w:hint="eastAsia" w:ascii="宋体" w:hAnsi="宋体" w:eastAsia="宋体" w:cs="宋体"/>
          <w:highlight w:val="none"/>
        </w:rPr>
        <w:t xml:space="preserve"> 0587的规定进行。</w:t>
      </w:r>
      <w:bookmarkEnd w:id="225"/>
      <w:bookmarkEnd w:id="226"/>
    </w:p>
    <w:p w14:paraId="60D2E8E2">
      <w:pPr>
        <w:pStyle w:val="22"/>
        <w:numPr>
          <w:ilvl w:val="1"/>
          <w:numId w:val="0"/>
        </w:numPr>
        <w:spacing w:before="156" w:after="156"/>
        <w:rPr>
          <w:rFonts w:hAnsi="Times New Roman"/>
          <w:color w:val="000000"/>
          <w:highlight w:val="none"/>
        </w:rPr>
      </w:pPr>
      <w:bookmarkStart w:id="227" w:name="_Toc30718"/>
      <w:bookmarkStart w:id="228" w:name="_Toc8373"/>
      <w:r>
        <w:rPr>
          <w:rFonts w:hint="eastAsia"/>
          <w:highlight w:val="none"/>
        </w:rPr>
        <w:t>7.7　</w:t>
      </w:r>
      <w:bookmarkEnd w:id="227"/>
      <w:bookmarkEnd w:id="228"/>
      <w:r>
        <w:rPr>
          <w:rFonts w:hint="eastAsia" w:ascii="宋体" w:hAnsi="宋体" w:eastAsia="宋体" w:cs="宋体"/>
          <w:highlight w:val="none"/>
        </w:rPr>
        <w:t>容重的检验按</w:t>
      </w:r>
      <w:r>
        <w:rPr>
          <w:rFonts w:hint="eastAsia" w:ascii="宋体" w:hAnsi="宋体" w:eastAsia="宋体" w:cs="宋体"/>
          <w:highlight w:val="none"/>
          <w:lang w:eastAsia="zh-CN"/>
        </w:rPr>
        <w:t>附录</w:t>
      </w:r>
      <w:r>
        <w:rPr>
          <w:rFonts w:hint="default" w:ascii="Times New Roman" w:hAnsi="Times New Roman" w:eastAsia="宋体" w:cs="Times New Roman"/>
          <w:highlight w:val="none"/>
          <w:lang w:val="en-US" w:eastAsia="zh-CN"/>
        </w:rPr>
        <w:t>A</w:t>
      </w:r>
      <w:r>
        <w:rPr>
          <w:rFonts w:hint="eastAsia" w:ascii="宋体" w:hAnsi="宋体" w:eastAsia="宋体" w:cs="宋体"/>
          <w:highlight w:val="none"/>
        </w:rPr>
        <w:t>的规定进行。</w:t>
      </w:r>
    </w:p>
    <w:p w14:paraId="163D056A">
      <w:pPr>
        <w:pStyle w:val="22"/>
        <w:numPr>
          <w:ilvl w:val="1"/>
          <w:numId w:val="0"/>
        </w:numPr>
        <w:spacing w:before="156" w:after="156"/>
        <w:rPr>
          <w:rFonts w:hint="eastAsia" w:ascii="宋体" w:hAnsi="宋体" w:eastAsia="宋体" w:cs="宋体"/>
          <w:highlight w:val="none"/>
        </w:rPr>
      </w:pPr>
      <w:bookmarkStart w:id="229" w:name="_Toc20599"/>
      <w:bookmarkStart w:id="230" w:name="_Toc18387"/>
      <w:r>
        <w:rPr>
          <w:rFonts w:hint="eastAsia" w:hAnsi="Times New Roman"/>
          <w:color w:val="000000"/>
          <w:highlight w:val="none"/>
        </w:rPr>
        <w:t>7.8　</w:t>
      </w:r>
      <w:r>
        <w:rPr>
          <w:rFonts w:hint="eastAsia" w:ascii="宋体" w:hAnsi="宋体" w:eastAsia="宋体" w:cs="宋体"/>
          <w:highlight w:val="none"/>
        </w:rPr>
        <w:t>尺寸、外观的检查按</w:t>
      </w:r>
      <w:r>
        <w:rPr>
          <w:rFonts w:ascii="Times New Roman" w:hAnsi="Times New Roman" w:eastAsia="宋体"/>
          <w:highlight w:val="none"/>
        </w:rPr>
        <w:t>GB/T</w:t>
      </w:r>
      <w:r>
        <w:rPr>
          <w:rFonts w:hint="eastAsia" w:ascii="宋体" w:hAnsi="宋体" w:eastAsia="宋体" w:cs="宋体"/>
          <w:highlight w:val="none"/>
        </w:rPr>
        <w:t xml:space="preserve"> 10326的规定进行。</w:t>
      </w:r>
      <w:bookmarkEnd w:id="229"/>
      <w:bookmarkEnd w:id="230"/>
    </w:p>
    <w:p w14:paraId="3E0568C8">
      <w:pPr>
        <w:pStyle w:val="60"/>
        <w:spacing w:before="312" w:after="312"/>
      </w:pPr>
      <w:bookmarkStart w:id="231" w:name="_Toc15987"/>
      <w:bookmarkStart w:id="232" w:name="_Toc30514"/>
      <w:r>
        <w:t>8　</w:t>
      </w:r>
      <w:bookmarkEnd w:id="219"/>
      <w:bookmarkEnd w:id="220"/>
      <w:r>
        <w:t>检验规则</w:t>
      </w:r>
      <w:bookmarkEnd w:id="231"/>
      <w:bookmarkEnd w:id="232"/>
    </w:p>
    <w:p w14:paraId="7091A01D">
      <w:pPr>
        <w:pStyle w:val="61"/>
        <w:spacing w:before="156" w:after="156"/>
      </w:pPr>
      <w:bookmarkStart w:id="233" w:name="_Toc73622037"/>
      <w:bookmarkStart w:id="234" w:name="_Toc73958804"/>
      <w:bookmarkStart w:id="235" w:name="_Toc1194"/>
      <w:r>
        <w:t>8.1　</w:t>
      </w:r>
      <w:bookmarkEnd w:id="233"/>
      <w:bookmarkEnd w:id="234"/>
      <w:r>
        <w:t>检验分类</w:t>
      </w:r>
      <w:bookmarkEnd w:id="235"/>
    </w:p>
    <w:p w14:paraId="1DB8621D">
      <w:pPr>
        <w:pStyle w:val="18"/>
        <w:rPr>
          <w:rFonts w:hint="eastAsia" w:hAnsi="宋体"/>
        </w:rPr>
      </w:pPr>
      <w:r>
        <w:rPr>
          <w:rFonts w:hint="eastAsia" w:hAnsi="宋体"/>
        </w:rPr>
        <w:t>检验分出厂检验和型式检验。</w:t>
      </w:r>
    </w:p>
    <w:p w14:paraId="4598A377">
      <w:pPr>
        <w:pStyle w:val="21"/>
        <w:numPr>
          <w:ilvl w:val="2"/>
          <w:numId w:val="0"/>
        </w:numPr>
        <w:spacing w:before="156" w:after="156"/>
        <w:rPr>
          <w:rFonts w:hint="eastAsia" w:hAnsi="宋体"/>
        </w:rPr>
      </w:pPr>
      <w:r>
        <w:rPr>
          <w:rFonts w:hint="eastAsia" w:hAnsi="黑体" w:cs="黑体"/>
          <w:spacing w:val="8"/>
        </w:rPr>
        <w:t>8.1.1</w:t>
      </w:r>
      <w:r>
        <w:rPr>
          <w:rFonts w:hint="eastAsia"/>
        </w:rPr>
        <w:t xml:space="preserve"> 出厂检验</w:t>
      </w:r>
    </w:p>
    <w:p w14:paraId="0BC3D72A">
      <w:pPr>
        <w:pStyle w:val="18"/>
        <w:rPr>
          <w:rFonts w:hint="eastAsia" w:hAnsi="宋体"/>
        </w:rPr>
      </w:pPr>
      <w:r>
        <w:rPr>
          <w:rFonts w:hint="eastAsia" w:hAnsi="宋体"/>
        </w:rPr>
        <w:t>出厂检验项目包括尺寸允许偏差</w:t>
      </w:r>
      <w:r>
        <w:rPr>
          <w:rFonts w:hint="eastAsia" w:hAnsi="宋体"/>
          <w:lang w:eastAsia="zh-CN"/>
        </w:rPr>
        <w:t>及</w:t>
      </w:r>
      <w:r>
        <w:rPr>
          <w:rFonts w:hint="eastAsia" w:hAnsi="宋体"/>
        </w:rPr>
        <w:t>外观质量、化学成分、容重。</w:t>
      </w:r>
    </w:p>
    <w:p w14:paraId="73220BF2">
      <w:pPr>
        <w:pStyle w:val="21"/>
        <w:numPr>
          <w:ilvl w:val="2"/>
          <w:numId w:val="0"/>
        </w:numPr>
        <w:spacing w:before="156" w:after="156"/>
      </w:pPr>
      <w:r>
        <w:rPr>
          <w:rFonts w:hint="eastAsia" w:hAnsi="黑体" w:cs="黑体"/>
          <w:spacing w:val="8"/>
        </w:rPr>
        <w:t>8.1.2</w:t>
      </w:r>
      <w:r>
        <w:rPr>
          <w:rFonts w:hint="eastAsia"/>
        </w:rPr>
        <w:t xml:space="preserve"> 型式检验</w:t>
      </w:r>
    </w:p>
    <w:p w14:paraId="7C312AC3">
      <w:pPr>
        <w:pStyle w:val="18"/>
        <w:rPr>
          <w:rFonts w:hint="eastAsia" w:hAnsi="宋体"/>
        </w:rPr>
      </w:pPr>
      <w:r>
        <w:rPr>
          <w:rFonts w:hint="eastAsia" w:hAnsi="宋体"/>
        </w:rPr>
        <w:t>型式检验项目包括第5章的全部内容，</w:t>
      </w:r>
      <w:r>
        <w:rPr>
          <w:rFonts w:hAnsi="宋体"/>
        </w:rPr>
        <w:t>有下列情况之一时，应进行型式检验：</w:t>
      </w:r>
    </w:p>
    <w:p w14:paraId="054271C1">
      <w:pPr>
        <w:pStyle w:val="43"/>
        <w:numPr>
          <w:ilvl w:val="255"/>
          <w:numId w:val="0"/>
        </w:numPr>
        <w:ind w:left="420"/>
        <w:rPr>
          <w:rFonts w:hint="eastAsia" w:hAnsi="宋体"/>
        </w:rPr>
      </w:pPr>
      <w:r>
        <w:rPr>
          <w:rFonts w:ascii="Times New Roman" w:hAnsi="Times New Roman"/>
        </w:rPr>
        <w:t>a)</w:t>
      </w:r>
      <w:r>
        <w:rPr>
          <w:rFonts w:hint="eastAsia" w:hAnsi="宋体"/>
        </w:rPr>
        <w:t xml:space="preserve"> </w:t>
      </w:r>
      <w:r>
        <w:rPr>
          <w:rFonts w:hAnsi="宋体"/>
        </w:rPr>
        <w:t>生产工艺或原材料有较大改变时；</w:t>
      </w:r>
    </w:p>
    <w:p w14:paraId="6112B6C7">
      <w:pPr>
        <w:pStyle w:val="43"/>
        <w:numPr>
          <w:ilvl w:val="255"/>
          <w:numId w:val="0"/>
        </w:numPr>
        <w:ind w:left="420"/>
        <w:rPr>
          <w:rFonts w:hint="eastAsia" w:hAnsi="宋体"/>
        </w:rPr>
      </w:pPr>
      <w:r>
        <w:rPr>
          <w:rFonts w:ascii="Times New Roman" w:hAnsi="Times New Roman"/>
        </w:rPr>
        <w:t>b)</w:t>
      </w:r>
      <w:r>
        <w:rPr>
          <w:rFonts w:hint="eastAsia" w:ascii="Times New Roman" w:hAnsi="Times New Roman"/>
        </w:rPr>
        <w:t xml:space="preserve"> </w:t>
      </w:r>
      <w:r>
        <w:rPr>
          <w:rFonts w:hAnsi="宋体"/>
        </w:rPr>
        <w:t>正常生产时，每年至少进行两次；</w:t>
      </w:r>
    </w:p>
    <w:p w14:paraId="25FADCF1">
      <w:pPr>
        <w:pStyle w:val="43"/>
        <w:numPr>
          <w:ilvl w:val="255"/>
          <w:numId w:val="0"/>
        </w:numPr>
        <w:ind w:left="420"/>
        <w:rPr>
          <w:rFonts w:hint="eastAsia" w:hAnsi="宋体"/>
        </w:rPr>
      </w:pPr>
      <w:r>
        <w:rPr>
          <w:rFonts w:ascii="Times New Roman" w:hAnsi="Times New Roman"/>
        </w:rPr>
        <w:t>c)</w:t>
      </w:r>
      <w:r>
        <w:rPr>
          <w:rFonts w:hint="eastAsia" w:ascii="Times New Roman" w:hAnsi="Times New Roman"/>
        </w:rPr>
        <w:t xml:space="preserve"> </w:t>
      </w:r>
      <w:r>
        <w:rPr>
          <w:rFonts w:hAnsi="宋体"/>
        </w:rPr>
        <w:t>停产半年以上，恢复生产时；</w:t>
      </w:r>
    </w:p>
    <w:p w14:paraId="23FACB91">
      <w:pPr>
        <w:pStyle w:val="43"/>
        <w:numPr>
          <w:ilvl w:val="255"/>
          <w:numId w:val="0"/>
        </w:numPr>
        <w:ind w:left="420"/>
        <w:rPr>
          <w:rFonts w:hint="eastAsia" w:hAnsi="宋体"/>
        </w:rPr>
      </w:pPr>
      <w:r>
        <w:rPr>
          <w:rFonts w:ascii="Times New Roman" w:hAnsi="Times New Roman"/>
        </w:rPr>
        <w:t>d)</w:t>
      </w:r>
      <w:r>
        <w:rPr>
          <w:rFonts w:hint="eastAsia" w:ascii="Times New Roman" w:hAnsi="Times New Roman"/>
        </w:rPr>
        <w:t xml:space="preserve"> </w:t>
      </w:r>
      <w:r>
        <w:rPr>
          <w:rFonts w:hAnsi="宋体"/>
        </w:rPr>
        <w:t>出厂检验结果与上次型式检验结果有较大差异时。</w:t>
      </w:r>
    </w:p>
    <w:p w14:paraId="67602E20">
      <w:pPr>
        <w:pStyle w:val="61"/>
        <w:spacing w:before="156" w:after="156"/>
      </w:pPr>
      <w:bookmarkStart w:id="236" w:name="_Toc73622038"/>
      <w:bookmarkStart w:id="237" w:name="_Toc73958805"/>
      <w:bookmarkStart w:id="238" w:name="_Toc10674"/>
      <w:r>
        <w:t>8.2　</w:t>
      </w:r>
      <w:bookmarkEnd w:id="236"/>
      <w:bookmarkEnd w:id="237"/>
      <w:r>
        <w:t>组批</w:t>
      </w:r>
      <w:bookmarkEnd w:id="238"/>
    </w:p>
    <w:p w14:paraId="6FD66128">
      <w:pPr>
        <w:pStyle w:val="18"/>
        <w:rPr>
          <w:rFonts w:hint="eastAsia" w:hAnsi="宋体"/>
        </w:rPr>
      </w:pPr>
      <w:r>
        <w:rPr>
          <w:rFonts w:hint="eastAsia" w:hAnsi="宋体" w:cs="宋体"/>
        </w:rPr>
        <w:t>相同条件生产的制品按牌号及砖型进行组批，每300</w:t>
      </w:r>
      <w:r>
        <w:rPr>
          <w:rFonts w:ascii="Times New Roman" w:hAnsi="Times New Roman"/>
        </w:rPr>
        <w:t>t</w:t>
      </w:r>
      <w:r>
        <w:rPr>
          <w:rFonts w:hint="eastAsia" w:hAnsi="宋体" w:cs="宋体"/>
        </w:rPr>
        <w:t>制品为一批，不足30</w:t>
      </w:r>
      <w:r>
        <w:rPr>
          <w:rFonts w:hAnsi="宋体" w:cs="宋体"/>
        </w:rPr>
        <w:t>0</w:t>
      </w:r>
      <w:r>
        <w:rPr>
          <w:rFonts w:ascii="Times New Roman" w:hAnsi="Times New Roman"/>
        </w:rPr>
        <w:t>t</w:t>
      </w:r>
      <w:r>
        <w:rPr>
          <w:rFonts w:hint="eastAsia" w:hAnsi="宋体" w:cs="宋体"/>
        </w:rPr>
        <w:t>时按一批计。</w:t>
      </w:r>
    </w:p>
    <w:p w14:paraId="0E5A2C14">
      <w:pPr>
        <w:pStyle w:val="33"/>
        <w:numPr>
          <w:ilvl w:val="0"/>
          <w:numId w:val="0"/>
        </w:numPr>
        <w:tabs>
          <w:tab w:val="left" w:pos="0"/>
        </w:tabs>
        <w:jc w:val="both"/>
        <w:rPr>
          <w:rFonts w:ascii="Times New Roman" w:hAnsi="Times New Roman"/>
        </w:rPr>
      </w:pPr>
      <w:bookmarkStart w:id="239" w:name="_Toc30168"/>
      <w:bookmarkStart w:id="240" w:name="_Toc22063"/>
      <w:bookmarkStart w:id="241" w:name="_Toc27233"/>
      <w:bookmarkStart w:id="242" w:name="_Toc32067"/>
      <w:bookmarkStart w:id="243" w:name="_Toc6920"/>
      <w:r>
        <w:rPr>
          <w:rFonts w:hint="eastAsia" w:ascii="黑体" w:hAnsi="Times New Roman" w:eastAsia="黑体"/>
          <w:szCs w:val="21"/>
        </w:rPr>
        <w:t>9</w:t>
      </w:r>
      <w:bookmarkEnd w:id="239"/>
      <w:bookmarkEnd w:id="240"/>
      <w:bookmarkEnd w:id="241"/>
      <w:bookmarkEnd w:id="242"/>
      <w:bookmarkEnd w:id="243"/>
      <w:r>
        <w:rPr>
          <w:rFonts w:hint="eastAsia" w:ascii="黑体" w:hAnsi="Times New Roman" w:eastAsia="黑体"/>
          <w:szCs w:val="21"/>
        </w:rPr>
        <w:t>　</w:t>
      </w:r>
    </w:p>
    <w:p w14:paraId="3459A826">
      <w:pPr>
        <w:pStyle w:val="61"/>
        <w:spacing w:before="156" w:after="156"/>
      </w:pPr>
      <w:bookmarkStart w:id="244" w:name="_Toc3945"/>
      <w:r>
        <w:t>8.3  抽样</w:t>
      </w:r>
      <w:bookmarkEnd w:id="244"/>
    </w:p>
    <w:p w14:paraId="6E948C13">
      <w:pPr>
        <w:pStyle w:val="21"/>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textAlignment w:val="auto"/>
        <w:rPr>
          <w:rFonts w:hint="eastAsia" w:eastAsia="宋体"/>
          <w:highlight w:val="none"/>
          <w:lang w:eastAsia="zh-CN"/>
        </w:rPr>
      </w:pPr>
      <w:r>
        <w:rPr>
          <w:rFonts w:hint="eastAsia" w:hAnsi="黑体" w:cs="黑体"/>
          <w:spacing w:val="8"/>
        </w:rPr>
        <w:t>8.3.1</w:t>
      </w:r>
      <w:r>
        <w:rPr>
          <w:rFonts w:hint="eastAsia"/>
        </w:rPr>
        <w:t xml:space="preserve"> </w:t>
      </w:r>
      <w:r>
        <w:rPr>
          <w:rFonts w:hint="eastAsia" w:ascii="宋体" w:hAnsi="宋体" w:eastAsia="宋体"/>
        </w:rPr>
        <w:t>尺寸允许偏差</w:t>
      </w:r>
      <w:r>
        <w:rPr>
          <w:rFonts w:hint="eastAsia" w:ascii="宋体" w:hAnsi="宋体" w:eastAsia="宋体"/>
          <w:lang w:eastAsia="zh-CN"/>
        </w:rPr>
        <w:t>及</w:t>
      </w:r>
      <w:r>
        <w:rPr>
          <w:rFonts w:hint="eastAsia" w:ascii="宋体" w:hAnsi="宋体" w:eastAsia="宋体"/>
        </w:rPr>
        <w:t>外观质量、容重需</w:t>
      </w:r>
      <w:r>
        <w:rPr>
          <w:rFonts w:hint="eastAsia" w:ascii="宋体" w:hAnsi="宋体" w:eastAsia="宋体"/>
          <w:highlight w:val="none"/>
        </w:rPr>
        <w:t>每块检查</w:t>
      </w:r>
      <w:r>
        <w:rPr>
          <w:rFonts w:hint="eastAsia" w:ascii="宋体" w:hAnsi="宋体" w:eastAsia="宋体"/>
          <w:highlight w:val="none"/>
          <w:lang w:val="en-US" w:eastAsia="zh-CN"/>
        </w:rPr>
        <w:t>和检验</w:t>
      </w:r>
      <w:r>
        <w:rPr>
          <w:rFonts w:hint="eastAsia" w:ascii="宋体" w:hAnsi="宋体" w:eastAsia="宋体"/>
          <w:highlight w:val="none"/>
          <w:lang w:eastAsia="zh-CN"/>
        </w:rPr>
        <w:t>。</w:t>
      </w:r>
    </w:p>
    <w:p w14:paraId="25D5F9BE">
      <w:pPr>
        <w:pStyle w:val="21"/>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textAlignment w:val="auto"/>
        <w:rPr>
          <w:rFonts w:hint="eastAsia" w:ascii="宋体" w:hAnsi="宋体" w:eastAsia="宋体"/>
          <w:highlight w:val="none"/>
          <w:lang w:val="en-US" w:eastAsia="zh-CN"/>
        </w:rPr>
      </w:pPr>
      <w:r>
        <w:rPr>
          <w:rFonts w:hint="eastAsia" w:hAnsi="黑体" w:cs="黑体"/>
          <w:spacing w:val="8"/>
          <w:highlight w:val="none"/>
        </w:rPr>
        <w:t>8.3.2</w:t>
      </w:r>
      <w:r>
        <w:rPr>
          <w:rFonts w:hint="eastAsia"/>
          <w:highlight w:val="none"/>
        </w:rPr>
        <w:t xml:space="preserve"> </w:t>
      </w:r>
      <w:r>
        <w:rPr>
          <w:rFonts w:hint="eastAsia" w:ascii="宋体" w:hAnsi="宋体" w:eastAsia="宋体"/>
          <w:highlight w:val="none"/>
          <w:lang w:val="en-US" w:eastAsia="zh-CN"/>
        </w:rPr>
        <w:t>样品</w:t>
      </w:r>
      <w:r>
        <w:rPr>
          <w:rFonts w:hint="eastAsia" w:ascii="宋体" w:hAnsi="宋体" w:eastAsia="宋体"/>
          <w:highlight w:val="none"/>
        </w:rPr>
        <w:t>除容重外的理化指标，可</w:t>
      </w:r>
      <w:r>
        <w:rPr>
          <w:rFonts w:hint="eastAsia" w:ascii="宋体" w:hAnsi="宋体" w:eastAsia="宋体"/>
          <w:highlight w:val="none"/>
          <w:lang w:val="en-US" w:eastAsia="zh-CN"/>
        </w:rPr>
        <w:t>用</w:t>
      </w:r>
      <w:r>
        <w:rPr>
          <w:rFonts w:hint="eastAsia" w:ascii="宋体" w:hAnsi="宋体" w:eastAsia="宋体"/>
          <w:highlight w:val="none"/>
        </w:rPr>
        <w:t>生产该批</w:t>
      </w:r>
      <w:r>
        <w:rPr>
          <w:rFonts w:hint="eastAsia" w:ascii="宋体" w:hAnsi="宋体" w:eastAsia="宋体"/>
          <w:highlight w:val="none"/>
          <w:lang w:val="en-US" w:eastAsia="zh-CN"/>
        </w:rPr>
        <w:t>制</w:t>
      </w:r>
      <w:r>
        <w:rPr>
          <w:rFonts w:hint="eastAsia" w:ascii="宋体" w:hAnsi="宋体" w:eastAsia="宋体"/>
          <w:highlight w:val="none"/>
        </w:rPr>
        <w:t>品时</w:t>
      </w:r>
      <w:r>
        <w:rPr>
          <w:rFonts w:hint="eastAsia" w:ascii="宋体" w:hAnsi="宋体" w:eastAsia="宋体"/>
          <w:highlight w:val="none"/>
          <w:lang w:val="en-US" w:eastAsia="zh-CN"/>
        </w:rPr>
        <w:t>普通浇铸的三块样砖进行检测，样砖尺寸为4</w:t>
      </w:r>
      <w:r>
        <w:rPr>
          <w:rFonts w:hint="eastAsia" w:ascii="宋体" w:hAnsi="宋体" w:eastAsia="宋体"/>
          <w:highlight w:val="none"/>
        </w:rPr>
        <w:t>00</w:t>
      </w:r>
      <w:r>
        <w:rPr>
          <w:rFonts w:ascii="Times New Roman" w:hAnsi="Times New Roman" w:eastAsia="宋体"/>
          <w:highlight w:val="none"/>
        </w:rPr>
        <w:t>mm</w:t>
      </w:r>
      <w:r>
        <w:rPr>
          <w:rFonts w:hint="eastAsia" w:ascii="宋体" w:hAnsi="宋体" w:eastAsia="宋体"/>
          <w:highlight w:val="none"/>
        </w:rPr>
        <w:t>×</w:t>
      </w:r>
      <w:r>
        <w:rPr>
          <w:rFonts w:hint="eastAsia" w:ascii="宋体" w:hAnsi="宋体" w:eastAsia="宋体"/>
          <w:highlight w:val="none"/>
          <w:lang w:val="en-US" w:eastAsia="zh-CN"/>
        </w:rPr>
        <w:t>3</w:t>
      </w:r>
      <w:r>
        <w:rPr>
          <w:rFonts w:hint="eastAsia" w:ascii="宋体" w:hAnsi="宋体" w:eastAsia="宋体"/>
          <w:highlight w:val="none"/>
        </w:rPr>
        <w:t>00</w:t>
      </w:r>
      <w:r>
        <w:rPr>
          <w:rFonts w:ascii="Times New Roman" w:hAnsi="Times New Roman" w:eastAsia="宋体"/>
          <w:highlight w:val="none"/>
        </w:rPr>
        <w:t>mm</w:t>
      </w:r>
      <w:r>
        <w:rPr>
          <w:rFonts w:hint="eastAsia" w:ascii="宋体" w:hAnsi="宋体" w:eastAsia="宋体"/>
          <w:highlight w:val="none"/>
        </w:rPr>
        <w:t>×</w:t>
      </w:r>
      <w:r>
        <w:rPr>
          <w:rFonts w:hint="eastAsia" w:ascii="宋体" w:hAnsi="宋体" w:eastAsia="宋体"/>
          <w:highlight w:val="none"/>
          <w:lang w:val="en-US" w:eastAsia="zh-CN"/>
        </w:rPr>
        <w:t>45</w:t>
      </w:r>
      <w:r>
        <w:rPr>
          <w:rFonts w:hint="eastAsia" w:ascii="宋体" w:hAnsi="宋体" w:eastAsia="宋体"/>
          <w:highlight w:val="none"/>
        </w:rPr>
        <w:t>0</w:t>
      </w:r>
      <w:r>
        <w:rPr>
          <w:rFonts w:ascii="Times New Roman" w:hAnsi="Times New Roman" w:eastAsia="宋体"/>
          <w:highlight w:val="none"/>
        </w:rPr>
        <w:t>mm</w:t>
      </w:r>
      <w:r>
        <w:rPr>
          <w:rFonts w:hint="eastAsia" w:ascii="宋体" w:hAnsi="宋体" w:eastAsia="宋体"/>
          <w:highlight w:val="none"/>
        </w:rPr>
        <w:t>(长×宽×高)</w:t>
      </w:r>
      <w:r>
        <w:rPr>
          <w:rFonts w:hint="eastAsia" w:ascii="宋体" w:hAnsi="宋体" w:eastAsia="宋体"/>
          <w:highlight w:val="none"/>
          <w:lang w:eastAsia="zh-CN"/>
        </w:rPr>
        <w:t>。</w:t>
      </w:r>
    </w:p>
    <w:p w14:paraId="38D0838B">
      <w:pPr>
        <w:pStyle w:val="61"/>
        <w:spacing w:before="156" w:after="156"/>
        <w:rPr>
          <w:highlight w:val="none"/>
        </w:rPr>
      </w:pPr>
      <w:bookmarkStart w:id="245" w:name="_Toc23563"/>
      <w:r>
        <w:rPr>
          <w:highlight w:val="none"/>
        </w:rPr>
        <w:t>8.4  合格判定规则</w:t>
      </w:r>
      <w:bookmarkEnd w:id="245"/>
    </w:p>
    <w:p w14:paraId="32534137">
      <w:pPr>
        <w:pStyle w:val="21"/>
        <w:numPr>
          <w:ilvl w:val="2"/>
          <w:numId w:val="0"/>
        </w:numPr>
        <w:spacing w:before="156" w:after="156"/>
        <w:rPr>
          <w:highlight w:val="none"/>
        </w:rPr>
      </w:pPr>
      <w:r>
        <w:rPr>
          <w:rFonts w:hint="eastAsia" w:hAnsi="黑体" w:cs="黑体"/>
          <w:spacing w:val="8"/>
          <w:highlight w:val="none"/>
        </w:rPr>
        <w:t>8.4.1</w:t>
      </w:r>
      <w:r>
        <w:rPr>
          <w:rFonts w:hint="eastAsia"/>
          <w:highlight w:val="none"/>
        </w:rPr>
        <w:t xml:space="preserve">  容重、尺寸允许偏差</w:t>
      </w:r>
      <w:r>
        <w:rPr>
          <w:rFonts w:hint="eastAsia"/>
          <w:highlight w:val="none"/>
          <w:lang w:eastAsia="zh-CN"/>
        </w:rPr>
        <w:t>及</w:t>
      </w:r>
      <w:r>
        <w:rPr>
          <w:rFonts w:hint="eastAsia"/>
          <w:highlight w:val="none"/>
        </w:rPr>
        <w:t>外观质量的判定</w:t>
      </w:r>
    </w:p>
    <w:p w14:paraId="3EF9AD07">
      <w:pPr>
        <w:pStyle w:val="3"/>
        <w:keepNext w:val="0"/>
        <w:keepLines w:val="0"/>
        <w:pageBreakBefore w:val="0"/>
        <w:widowControl w:val="0"/>
        <w:kinsoku/>
        <w:wordWrap/>
        <w:overflowPunct/>
        <w:topLinePunct w:val="0"/>
        <w:autoSpaceDE/>
        <w:autoSpaceDN/>
        <w:bidi w:val="0"/>
        <w:adjustRightInd/>
        <w:snapToGrid/>
        <w:spacing w:line="240" w:lineRule="auto"/>
        <w:ind w:right="91" w:firstLine="448"/>
        <w:textAlignment w:val="auto"/>
        <w:rPr>
          <w:rFonts w:hint="eastAsia"/>
          <w:spacing w:val="-4"/>
          <w:sz w:val="21"/>
          <w:szCs w:val="21"/>
          <w:highlight w:val="none"/>
          <w:lang w:eastAsia="zh-CN"/>
        </w:rPr>
      </w:pPr>
      <w:r>
        <w:rPr>
          <w:rFonts w:hint="eastAsia"/>
          <w:color w:val="000000"/>
          <w:sz w:val="21"/>
          <w:szCs w:val="21"/>
          <w:highlight w:val="none"/>
          <w:lang w:eastAsia="zh-CN"/>
        </w:rPr>
        <w:t>应按表3和5.2的要求对每件</w:t>
      </w:r>
      <w:r>
        <w:rPr>
          <w:rFonts w:hint="eastAsia"/>
          <w:color w:val="000000"/>
          <w:sz w:val="21"/>
          <w:szCs w:val="21"/>
          <w:highlight w:val="none"/>
          <w:lang w:val="en-US" w:eastAsia="zh-CN"/>
        </w:rPr>
        <w:t>制</w:t>
      </w:r>
      <w:r>
        <w:rPr>
          <w:rFonts w:hint="eastAsia"/>
          <w:color w:val="000000"/>
          <w:sz w:val="21"/>
          <w:szCs w:val="21"/>
          <w:highlight w:val="none"/>
          <w:lang w:eastAsia="zh-CN"/>
        </w:rPr>
        <w:t>品的容重</w:t>
      </w:r>
      <w:r>
        <w:rPr>
          <w:rFonts w:hint="eastAsia"/>
          <w:spacing w:val="-1"/>
          <w:sz w:val="21"/>
          <w:szCs w:val="21"/>
          <w:highlight w:val="none"/>
          <w:lang w:eastAsia="zh-CN"/>
        </w:rPr>
        <w:t>、尺寸允许偏差及外观质量分别做出“合格”或“不合格”判</w:t>
      </w:r>
      <w:r>
        <w:rPr>
          <w:rFonts w:hint="eastAsia"/>
          <w:spacing w:val="-6"/>
          <w:sz w:val="21"/>
          <w:szCs w:val="21"/>
          <w:highlight w:val="none"/>
          <w:lang w:eastAsia="zh-CN"/>
        </w:rPr>
        <w:t>定。</w:t>
      </w:r>
      <w:r>
        <w:rPr>
          <w:rFonts w:hint="eastAsia"/>
          <w:color w:val="000000"/>
          <w:sz w:val="21"/>
          <w:szCs w:val="21"/>
          <w:highlight w:val="none"/>
          <w:lang w:eastAsia="zh-CN"/>
        </w:rPr>
        <w:t>容重</w:t>
      </w:r>
      <w:r>
        <w:rPr>
          <w:rFonts w:hint="eastAsia"/>
          <w:spacing w:val="-1"/>
          <w:sz w:val="21"/>
          <w:szCs w:val="21"/>
          <w:highlight w:val="none"/>
          <w:lang w:eastAsia="zh-CN"/>
        </w:rPr>
        <w:t>、尺寸允许偏差及外观质量</w:t>
      </w:r>
      <w:r>
        <w:rPr>
          <w:rFonts w:hint="eastAsia"/>
          <w:spacing w:val="-6"/>
          <w:sz w:val="21"/>
          <w:szCs w:val="21"/>
          <w:highlight w:val="none"/>
          <w:lang w:eastAsia="zh-CN"/>
        </w:rPr>
        <w:t>检验的不合格品，允许生产方调整之后，再次进行验收，再次验收不合</w:t>
      </w:r>
      <w:r>
        <w:rPr>
          <w:rFonts w:hint="eastAsia"/>
          <w:spacing w:val="-4"/>
          <w:sz w:val="21"/>
          <w:szCs w:val="21"/>
          <w:highlight w:val="none"/>
          <w:lang w:eastAsia="zh-CN"/>
        </w:rPr>
        <w:t>格，则</w:t>
      </w:r>
      <w:r>
        <w:rPr>
          <w:rFonts w:hint="eastAsia"/>
          <w:spacing w:val="-4"/>
          <w:sz w:val="21"/>
          <w:szCs w:val="21"/>
          <w:highlight w:val="none"/>
          <w:lang w:val="en-US" w:eastAsia="zh-CN"/>
        </w:rPr>
        <w:t>判定</w:t>
      </w:r>
      <w:r>
        <w:rPr>
          <w:rFonts w:hint="eastAsia"/>
          <w:spacing w:val="-4"/>
          <w:sz w:val="21"/>
          <w:szCs w:val="21"/>
          <w:highlight w:val="none"/>
          <w:lang w:eastAsia="zh-CN"/>
        </w:rPr>
        <w:t>该批</w:t>
      </w:r>
      <w:r>
        <w:rPr>
          <w:rFonts w:hint="eastAsia"/>
          <w:spacing w:val="-4"/>
          <w:sz w:val="21"/>
          <w:szCs w:val="21"/>
          <w:highlight w:val="none"/>
          <w:lang w:val="en-US" w:eastAsia="zh-CN"/>
        </w:rPr>
        <w:t>制</w:t>
      </w:r>
      <w:r>
        <w:rPr>
          <w:rFonts w:hint="eastAsia"/>
          <w:spacing w:val="-4"/>
          <w:sz w:val="21"/>
          <w:szCs w:val="21"/>
          <w:highlight w:val="none"/>
          <w:lang w:eastAsia="zh-CN"/>
        </w:rPr>
        <w:t>品不合格。</w:t>
      </w:r>
    </w:p>
    <w:p w14:paraId="0B6FBB6A">
      <w:pPr>
        <w:pStyle w:val="21"/>
        <w:numPr>
          <w:ilvl w:val="2"/>
          <w:numId w:val="0"/>
        </w:numPr>
        <w:spacing w:before="156" w:after="156"/>
        <w:rPr>
          <w:highlight w:val="none"/>
        </w:rPr>
      </w:pPr>
      <w:r>
        <w:rPr>
          <w:rFonts w:hint="eastAsia" w:hAnsi="黑体" w:cs="黑体"/>
          <w:spacing w:val="8"/>
          <w:highlight w:val="none"/>
        </w:rPr>
        <w:t>8.4.2</w:t>
      </w:r>
      <w:r>
        <w:rPr>
          <w:rFonts w:hint="eastAsia"/>
          <w:highlight w:val="none"/>
        </w:rPr>
        <w:t xml:space="preserve"> 理化性能的判定</w:t>
      </w:r>
    </w:p>
    <w:p w14:paraId="58758B20">
      <w:pPr>
        <w:pStyle w:val="3"/>
        <w:keepNext w:val="0"/>
        <w:keepLines w:val="0"/>
        <w:pageBreakBefore w:val="0"/>
        <w:widowControl w:val="0"/>
        <w:kinsoku/>
        <w:wordWrap/>
        <w:overflowPunct/>
        <w:topLinePunct w:val="0"/>
        <w:autoSpaceDE/>
        <w:autoSpaceDN/>
        <w:bidi w:val="0"/>
        <w:adjustRightInd/>
        <w:snapToGrid/>
        <w:spacing w:line="240" w:lineRule="auto"/>
        <w:ind w:right="91" w:firstLine="448"/>
        <w:textAlignment w:val="auto"/>
        <w:rPr>
          <w:rFonts w:hint="eastAsia"/>
          <w:spacing w:val="-6"/>
          <w:sz w:val="21"/>
          <w:szCs w:val="21"/>
          <w:highlight w:val="none"/>
          <w:lang w:eastAsia="zh-CN"/>
        </w:rPr>
      </w:pPr>
      <w:r>
        <w:rPr>
          <w:rFonts w:hint="eastAsia"/>
          <w:spacing w:val="-6"/>
          <w:sz w:val="21"/>
          <w:szCs w:val="21"/>
          <w:highlight w:val="none"/>
          <w:lang w:eastAsia="zh-CN"/>
        </w:rPr>
        <w:t>理化性能检验先取按8.3.2浇铸的三块样</w:t>
      </w:r>
      <w:r>
        <w:rPr>
          <w:rFonts w:hint="eastAsia"/>
          <w:spacing w:val="-6"/>
          <w:sz w:val="21"/>
          <w:szCs w:val="21"/>
          <w:highlight w:val="none"/>
          <w:lang w:val="en-US" w:eastAsia="zh-CN"/>
        </w:rPr>
        <w:t>砖</w:t>
      </w:r>
      <w:r>
        <w:rPr>
          <w:rFonts w:hint="eastAsia"/>
          <w:spacing w:val="-6"/>
          <w:sz w:val="21"/>
          <w:szCs w:val="21"/>
          <w:highlight w:val="none"/>
          <w:lang w:eastAsia="zh-CN"/>
        </w:rPr>
        <w:t>中的一块检测，除容重、晶相组成外，其余结果符合表3规定时，判定该批制品合格。若检验结果中有任一项指标不符合要求时，应取剩余两块样</w:t>
      </w:r>
      <w:r>
        <w:rPr>
          <w:rFonts w:hint="eastAsia"/>
          <w:spacing w:val="-6"/>
          <w:sz w:val="21"/>
          <w:szCs w:val="21"/>
          <w:highlight w:val="none"/>
          <w:lang w:val="en-US" w:eastAsia="zh-CN"/>
        </w:rPr>
        <w:t>砖</w:t>
      </w:r>
      <w:r>
        <w:rPr>
          <w:rFonts w:hint="eastAsia"/>
          <w:spacing w:val="-6"/>
          <w:sz w:val="21"/>
          <w:szCs w:val="21"/>
          <w:highlight w:val="none"/>
          <w:lang w:eastAsia="zh-CN"/>
        </w:rPr>
        <w:t>对不合格项进行复验。复验结果的平均值符合表3的规定时判定该批制品合格。否则判定该批制品不合格。</w:t>
      </w:r>
    </w:p>
    <w:p w14:paraId="30673E9E">
      <w:pPr>
        <w:pStyle w:val="21"/>
        <w:numPr>
          <w:ilvl w:val="2"/>
          <w:numId w:val="0"/>
        </w:numPr>
        <w:spacing w:before="156" w:after="156"/>
        <w:rPr>
          <w:highlight w:val="none"/>
        </w:rPr>
      </w:pPr>
      <w:r>
        <w:rPr>
          <w:rFonts w:hint="eastAsia" w:hAnsi="黑体" w:cs="黑体"/>
          <w:spacing w:val="8"/>
          <w:highlight w:val="none"/>
        </w:rPr>
        <w:t>8.4.3</w:t>
      </w:r>
      <w:r>
        <w:rPr>
          <w:rFonts w:hint="eastAsia"/>
          <w:highlight w:val="none"/>
        </w:rPr>
        <w:t xml:space="preserve"> 综合判定</w:t>
      </w:r>
    </w:p>
    <w:p w14:paraId="03D9EDC6">
      <w:pPr>
        <w:pStyle w:val="3"/>
        <w:keepNext w:val="0"/>
        <w:keepLines w:val="0"/>
        <w:pageBreakBefore w:val="0"/>
        <w:widowControl w:val="0"/>
        <w:kinsoku/>
        <w:wordWrap/>
        <w:overflowPunct/>
        <w:topLinePunct w:val="0"/>
        <w:autoSpaceDE/>
        <w:autoSpaceDN/>
        <w:bidi w:val="0"/>
        <w:adjustRightInd/>
        <w:snapToGrid/>
        <w:spacing w:line="240" w:lineRule="auto"/>
        <w:ind w:left="28" w:firstLine="396" w:firstLineChars="200"/>
        <w:textAlignment w:val="auto"/>
        <w:rPr>
          <w:rFonts w:hint="eastAsia"/>
          <w:spacing w:val="-6"/>
          <w:sz w:val="21"/>
          <w:szCs w:val="21"/>
          <w:highlight w:val="none"/>
          <w:lang w:eastAsia="zh-CN"/>
        </w:rPr>
      </w:pPr>
      <w:r>
        <w:rPr>
          <w:rFonts w:hint="eastAsia"/>
          <w:spacing w:val="-6"/>
          <w:sz w:val="21"/>
          <w:szCs w:val="21"/>
          <w:highlight w:val="none"/>
          <w:lang w:val="en-US" w:eastAsia="zh-CN"/>
        </w:rPr>
        <w:t>当检验批的理化性能、尺寸允许偏差及外观质量项目全部验收合格时，判定该批制品合格，否则为不合格。</w:t>
      </w:r>
    </w:p>
    <w:p w14:paraId="5A836526">
      <w:pPr>
        <w:pStyle w:val="60"/>
        <w:spacing w:before="312" w:after="312"/>
      </w:pPr>
      <w:bookmarkStart w:id="246" w:name="_Toc12205"/>
      <w:bookmarkStart w:id="247" w:name="_Toc12296"/>
      <w:r>
        <w:t>9　包装、标志、运输、储存和质量证明书</w:t>
      </w:r>
      <w:bookmarkEnd w:id="246"/>
      <w:bookmarkEnd w:id="247"/>
    </w:p>
    <w:p w14:paraId="7DCC40B0">
      <w:pPr>
        <w:pStyle w:val="22"/>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jc w:val="both"/>
        <w:textAlignment w:val="auto"/>
        <w:rPr>
          <w:rFonts w:hint="eastAsia" w:ascii="宋体" w:hAnsi="宋体" w:eastAsia="宋体" w:cs="宋体"/>
          <w:spacing w:val="-3"/>
          <w:kern w:val="2"/>
        </w:rPr>
      </w:pPr>
      <w:bookmarkStart w:id="248" w:name="_Toc8404"/>
      <w:bookmarkStart w:id="249" w:name="_Toc1985"/>
      <w:r>
        <w:rPr>
          <w:rFonts w:hint="eastAsia" w:hAnsi="Times New Roman"/>
          <w:color w:val="000000"/>
        </w:rPr>
        <w:t>9.1　</w:t>
      </w:r>
      <w:r>
        <w:rPr>
          <w:rFonts w:hint="eastAsia" w:ascii="宋体" w:hAnsi="宋体" w:eastAsia="宋体" w:cs="宋体"/>
          <w:spacing w:val="-3"/>
          <w:kern w:val="2"/>
        </w:rPr>
        <w:t>包装、标志、运输和储存按</w:t>
      </w:r>
      <w:r>
        <w:rPr>
          <w:rFonts w:ascii="Times New Roman" w:hAnsi="Times New Roman" w:eastAsia="宋体"/>
          <w:spacing w:val="-3"/>
          <w:kern w:val="2"/>
        </w:rPr>
        <w:t>GB/T</w:t>
      </w:r>
      <w:r>
        <w:rPr>
          <w:rFonts w:hint="eastAsia" w:ascii="宋体" w:hAnsi="宋体" w:eastAsia="宋体" w:cs="宋体"/>
          <w:spacing w:val="-3"/>
          <w:kern w:val="2"/>
        </w:rPr>
        <w:t xml:space="preserve"> 16546的规定进行，唇砖、</w:t>
      </w:r>
      <w:r>
        <w:rPr>
          <w:rFonts w:ascii="Times New Roman" w:hAnsi="Times New Roman" w:eastAsia="宋体"/>
          <w:spacing w:val="-3"/>
          <w:kern w:val="2"/>
        </w:rPr>
        <w:t>U</w:t>
      </w:r>
      <w:r>
        <w:rPr>
          <w:rFonts w:hint="eastAsia" w:ascii="宋体" w:hAnsi="宋体" w:eastAsia="宋体" w:cs="宋体"/>
          <w:spacing w:val="-3"/>
          <w:kern w:val="2"/>
        </w:rPr>
        <w:t>型料槽砖、流道流槽砖等特异品种应予以特殊包装。</w:t>
      </w:r>
      <w:bookmarkEnd w:id="248"/>
      <w:bookmarkEnd w:id="249"/>
    </w:p>
    <w:p w14:paraId="1FDA90A2">
      <w:pPr>
        <w:pStyle w:val="22"/>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jc w:val="both"/>
        <w:textAlignment w:val="auto"/>
        <w:rPr>
          <w:rFonts w:hint="eastAsia" w:ascii="宋体" w:hAnsi="宋体" w:eastAsia="宋体" w:cs="宋体"/>
          <w:spacing w:val="-3"/>
          <w:kern w:val="2"/>
          <w:highlight w:val="none"/>
        </w:rPr>
      </w:pPr>
      <w:bookmarkStart w:id="250" w:name="_Toc30932"/>
      <w:bookmarkStart w:id="251" w:name="_Toc30793"/>
      <w:r>
        <w:rPr>
          <w:rFonts w:hint="eastAsia"/>
        </w:rPr>
        <w:t xml:space="preserve">9.2 </w:t>
      </w:r>
      <w:r>
        <w:rPr>
          <w:rFonts w:hint="eastAsia" w:ascii="宋体" w:hAnsi="宋体" w:eastAsia="宋体" w:cs="宋体"/>
          <w:spacing w:val="-3"/>
          <w:kern w:val="2"/>
          <w:highlight w:val="none"/>
        </w:rPr>
        <w:t>制品出厂时应附有质量证明书，质量证明书应注明</w:t>
      </w:r>
      <w:r>
        <w:rPr>
          <w:rFonts w:hint="eastAsia" w:ascii="宋体" w:hAnsi="宋体" w:eastAsia="宋体" w:cs="宋体"/>
          <w:spacing w:val="-3"/>
          <w:kern w:val="2"/>
          <w:highlight w:val="none"/>
          <w:lang w:val="en-US" w:eastAsia="zh-CN"/>
        </w:rPr>
        <w:t>生产厂名、</w:t>
      </w:r>
      <w:r>
        <w:rPr>
          <w:rFonts w:hint="eastAsia" w:ascii="宋体" w:hAnsi="宋体" w:eastAsia="宋体" w:cs="宋体"/>
          <w:spacing w:val="-3"/>
          <w:kern w:val="2"/>
          <w:highlight w:val="none"/>
        </w:rPr>
        <w:t>需方名称、</w:t>
      </w:r>
      <w:r>
        <w:rPr>
          <w:rFonts w:hint="eastAsia" w:ascii="宋体" w:hAnsi="宋体" w:eastAsia="宋体" w:cs="宋体"/>
          <w:spacing w:val="-3"/>
          <w:kern w:val="2"/>
          <w:highlight w:val="none"/>
          <w:lang w:val="en-US" w:eastAsia="zh-CN"/>
        </w:rPr>
        <w:t>制</w:t>
      </w:r>
      <w:r>
        <w:rPr>
          <w:rFonts w:hint="eastAsia" w:ascii="宋体" w:hAnsi="宋体" w:eastAsia="宋体" w:cs="宋体"/>
          <w:spacing w:val="-3"/>
          <w:kern w:val="2"/>
          <w:highlight w:val="none"/>
        </w:rPr>
        <w:t>品名称、</w:t>
      </w:r>
      <w:r>
        <w:rPr>
          <w:rFonts w:hint="eastAsia" w:ascii="宋体" w:hAnsi="宋体" w:eastAsia="宋体" w:cs="宋体"/>
          <w:spacing w:val="-3"/>
          <w:kern w:val="2"/>
          <w:highlight w:val="none"/>
          <w:lang w:val="en-US" w:eastAsia="zh-CN"/>
        </w:rPr>
        <w:t>牌号等级及生产批号、质检专用章、签发人、检验结果、执行标准或供需双方约定</w:t>
      </w:r>
      <w:r>
        <w:rPr>
          <w:rFonts w:hint="eastAsia" w:ascii="宋体" w:hAnsi="宋体" w:eastAsia="宋体" w:cs="宋体"/>
          <w:spacing w:val="-3"/>
          <w:kern w:val="2"/>
          <w:highlight w:val="none"/>
        </w:rPr>
        <w:t>等。</w:t>
      </w:r>
      <w:bookmarkEnd w:id="250"/>
      <w:bookmarkEnd w:id="251"/>
    </w:p>
    <w:p w14:paraId="209B318F">
      <w:pPr>
        <w:pStyle w:val="18"/>
        <w:ind w:left="0" w:leftChars="0" w:firstLine="0" w:firstLineChars="0"/>
        <w:rPr>
          <w:rFonts w:hint="eastAsia" w:ascii="宋体" w:hAnsi="宋体" w:eastAsia="宋体" w:cs="宋体"/>
          <w:spacing w:val="-3"/>
          <w:kern w:val="2"/>
        </w:rPr>
      </w:pPr>
    </w:p>
    <w:p w14:paraId="37AD80B4">
      <w:pPr>
        <w:pStyle w:val="18"/>
        <w:ind w:left="0" w:leftChars="0" w:firstLine="0" w:firstLineChars="0"/>
        <w:rPr>
          <w:rFonts w:hint="eastAsia"/>
        </w:rPr>
      </w:pPr>
      <w:bookmarkStart w:id="252" w:name="_Toc6005"/>
    </w:p>
    <w:p w14:paraId="1A7639BD">
      <w:pPr>
        <w:pStyle w:val="53"/>
        <w:spacing w:before="312" w:after="312"/>
        <w:jc w:val="both"/>
        <w:rPr>
          <w:rFonts w:hint="eastAsia" w:ascii="Times New Roman" w:hAnsi="Times New Roman"/>
          <w:color w:val="000000" w:themeColor="text1"/>
          <w:szCs w:val="21"/>
          <w14:textFill>
            <w14:solidFill>
              <w14:schemeClr w14:val="tx1"/>
            </w14:solidFill>
          </w14:textFill>
        </w:rPr>
      </w:pPr>
      <w:bookmarkStart w:id="253" w:name="_Toc24474"/>
    </w:p>
    <w:p w14:paraId="3A9152A3">
      <w:pPr>
        <w:pStyle w:val="18"/>
        <w:rPr>
          <w:rFonts w:hint="eastAsia"/>
        </w:rPr>
      </w:pPr>
    </w:p>
    <w:p w14:paraId="5C5C51AD">
      <w:pPr>
        <w:pStyle w:val="53"/>
        <w:spacing w:before="312" w:after="312"/>
        <w:jc w:val="both"/>
        <w:rPr>
          <w:rFonts w:hint="eastAsia" w:ascii="Times New Roman" w:hAnsi="Times New Roman"/>
          <w:color w:val="000000" w:themeColor="text1"/>
          <w:szCs w:val="21"/>
          <w14:textFill>
            <w14:solidFill>
              <w14:schemeClr w14:val="tx1"/>
            </w14:solidFill>
          </w14:textFill>
        </w:rPr>
      </w:pPr>
    </w:p>
    <w:p w14:paraId="77D1AF76">
      <w:pPr>
        <w:pStyle w:val="53"/>
        <w:spacing w:before="312" w:after="312"/>
        <w:jc w:val="center"/>
        <w:rPr>
          <w:rFonts w:hint="eastAsia" w:ascii="Times New Roman" w:hAnsi="Times New Roman"/>
          <w:color w:val="000000" w:themeColor="text1"/>
          <w:szCs w:val="21"/>
          <w:highlight w:val="yellow"/>
          <w14:textFill>
            <w14:solidFill>
              <w14:schemeClr w14:val="tx1"/>
            </w14:solidFill>
          </w14:textFill>
        </w:rPr>
      </w:pPr>
    </w:p>
    <w:p w14:paraId="5B60FD4A">
      <w:pPr>
        <w:pStyle w:val="18"/>
        <w:rPr>
          <w:rFonts w:hint="eastAsia" w:ascii="Times New Roman" w:hAnsi="Times New Roman"/>
          <w:color w:val="000000" w:themeColor="text1"/>
          <w:szCs w:val="21"/>
          <w:highlight w:val="yellow"/>
          <w14:textFill>
            <w14:solidFill>
              <w14:schemeClr w14:val="tx1"/>
            </w14:solidFill>
          </w14:textFill>
        </w:rPr>
      </w:pPr>
    </w:p>
    <w:p w14:paraId="235BBF2A">
      <w:pPr>
        <w:pStyle w:val="18"/>
        <w:rPr>
          <w:rFonts w:hint="eastAsia" w:ascii="Times New Roman" w:hAnsi="Times New Roman"/>
          <w:color w:val="000000" w:themeColor="text1"/>
          <w:szCs w:val="21"/>
          <w:highlight w:val="yellow"/>
          <w14:textFill>
            <w14:solidFill>
              <w14:schemeClr w14:val="tx1"/>
            </w14:solidFill>
          </w14:textFill>
        </w:rPr>
      </w:pPr>
    </w:p>
    <w:p w14:paraId="11EEF3B8">
      <w:pPr>
        <w:pStyle w:val="18"/>
        <w:rPr>
          <w:rFonts w:hint="eastAsia" w:ascii="Times New Roman" w:hAnsi="Times New Roman"/>
          <w:color w:val="000000" w:themeColor="text1"/>
          <w:szCs w:val="21"/>
          <w:highlight w:val="yellow"/>
          <w14:textFill>
            <w14:solidFill>
              <w14:schemeClr w14:val="tx1"/>
            </w14:solidFill>
          </w14:textFill>
        </w:rPr>
      </w:pPr>
    </w:p>
    <w:p w14:paraId="27EA77BF">
      <w:pPr>
        <w:pStyle w:val="18"/>
        <w:rPr>
          <w:rFonts w:hint="eastAsia" w:ascii="Times New Roman" w:hAnsi="Times New Roman"/>
          <w:color w:val="000000" w:themeColor="text1"/>
          <w:szCs w:val="21"/>
          <w:highlight w:val="yellow"/>
          <w14:textFill>
            <w14:solidFill>
              <w14:schemeClr w14:val="tx1"/>
            </w14:solidFill>
          </w14:textFill>
        </w:rPr>
      </w:pPr>
    </w:p>
    <w:p w14:paraId="5364C632">
      <w:pPr>
        <w:pStyle w:val="18"/>
        <w:rPr>
          <w:rFonts w:hint="eastAsia" w:ascii="Times New Roman" w:hAnsi="Times New Roman"/>
          <w:color w:val="000000" w:themeColor="text1"/>
          <w:szCs w:val="21"/>
          <w:highlight w:val="yellow"/>
          <w14:textFill>
            <w14:solidFill>
              <w14:schemeClr w14:val="tx1"/>
            </w14:solidFill>
          </w14:textFill>
        </w:rPr>
      </w:pPr>
    </w:p>
    <w:p w14:paraId="3376CE06">
      <w:pPr>
        <w:pStyle w:val="18"/>
        <w:rPr>
          <w:rFonts w:hint="eastAsia" w:ascii="Times New Roman" w:hAnsi="Times New Roman"/>
          <w:color w:val="000000" w:themeColor="text1"/>
          <w:szCs w:val="21"/>
          <w:highlight w:val="yellow"/>
          <w14:textFill>
            <w14:solidFill>
              <w14:schemeClr w14:val="tx1"/>
            </w14:solidFill>
          </w14:textFill>
        </w:rPr>
      </w:pPr>
    </w:p>
    <w:p w14:paraId="27F93295">
      <w:pPr>
        <w:pStyle w:val="18"/>
        <w:rPr>
          <w:rFonts w:hint="eastAsia" w:ascii="Times New Roman" w:hAnsi="Times New Roman"/>
          <w:color w:val="000000" w:themeColor="text1"/>
          <w:szCs w:val="21"/>
          <w:highlight w:val="yellow"/>
          <w14:textFill>
            <w14:solidFill>
              <w14:schemeClr w14:val="tx1"/>
            </w14:solidFill>
          </w14:textFill>
        </w:rPr>
      </w:pPr>
    </w:p>
    <w:p w14:paraId="2DF2E08E">
      <w:pPr>
        <w:pStyle w:val="18"/>
        <w:rPr>
          <w:rFonts w:hint="eastAsia" w:ascii="Times New Roman" w:hAnsi="Times New Roman"/>
          <w:color w:val="000000" w:themeColor="text1"/>
          <w:szCs w:val="21"/>
          <w:highlight w:val="yellow"/>
          <w14:textFill>
            <w14:solidFill>
              <w14:schemeClr w14:val="tx1"/>
            </w14:solidFill>
          </w14:textFill>
        </w:rPr>
      </w:pPr>
    </w:p>
    <w:p w14:paraId="268B178A">
      <w:pPr>
        <w:pStyle w:val="18"/>
        <w:rPr>
          <w:rFonts w:hint="eastAsia" w:ascii="Times New Roman" w:hAnsi="Times New Roman"/>
          <w:color w:val="000000" w:themeColor="text1"/>
          <w:szCs w:val="21"/>
          <w:highlight w:val="yellow"/>
          <w14:textFill>
            <w14:solidFill>
              <w14:schemeClr w14:val="tx1"/>
            </w14:solidFill>
          </w14:textFill>
        </w:rPr>
      </w:pPr>
    </w:p>
    <w:p w14:paraId="4950A06E">
      <w:pPr>
        <w:pStyle w:val="18"/>
        <w:rPr>
          <w:rFonts w:hint="eastAsia" w:ascii="Times New Roman" w:hAnsi="Times New Roman"/>
          <w:color w:val="000000" w:themeColor="text1"/>
          <w:szCs w:val="21"/>
          <w:highlight w:val="yellow"/>
          <w14:textFill>
            <w14:solidFill>
              <w14:schemeClr w14:val="tx1"/>
            </w14:solidFill>
          </w14:textFill>
        </w:rPr>
      </w:pPr>
    </w:p>
    <w:p w14:paraId="08113074">
      <w:pPr>
        <w:pStyle w:val="18"/>
        <w:rPr>
          <w:rFonts w:hint="eastAsia" w:ascii="Times New Roman" w:hAnsi="Times New Roman"/>
          <w:color w:val="000000" w:themeColor="text1"/>
          <w:szCs w:val="21"/>
          <w:highlight w:val="yellow"/>
          <w14:textFill>
            <w14:solidFill>
              <w14:schemeClr w14:val="tx1"/>
            </w14:solidFill>
          </w14:textFill>
        </w:rPr>
      </w:pPr>
    </w:p>
    <w:p w14:paraId="5E6AB53A">
      <w:pPr>
        <w:pStyle w:val="18"/>
        <w:rPr>
          <w:rFonts w:hint="eastAsia" w:ascii="Times New Roman" w:hAnsi="Times New Roman"/>
          <w:color w:val="000000" w:themeColor="text1"/>
          <w:szCs w:val="21"/>
          <w:highlight w:val="yellow"/>
          <w14:textFill>
            <w14:solidFill>
              <w14:schemeClr w14:val="tx1"/>
            </w14:solidFill>
          </w14:textFill>
        </w:rPr>
      </w:pPr>
    </w:p>
    <w:p w14:paraId="5A57FBD1">
      <w:pPr>
        <w:pStyle w:val="18"/>
        <w:rPr>
          <w:rFonts w:hint="eastAsia" w:ascii="Times New Roman" w:hAnsi="Times New Roman"/>
          <w:color w:val="000000" w:themeColor="text1"/>
          <w:szCs w:val="21"/>
          <w:highlight w:val="yellow"/>
          <w14:textFill>
            <w14:solidFill>
              <w14:schemeClr w14:val="tx1"/>
            </w14:solidFill>
          </w14:textFill>
        </w:rPr>
      </w:pPr>
    </w:p>
    <w:p w14:paraId="18B48DFC">
      <w:pPr>
        <w:pStyle w:val="18"/>
        <w:rPr>
          <w:rFonts w:hint="eastAsia" w:ascii="Times New Roman" w:hAnsi="Times New Roman"/>
          <w:color w:val="000000" w:themeColor="text1"/>
          <w:szCs w:val="21"/>
          <w:highlight w:val="yellow"/>
          <w14:textFill>
            <w14:solidFill>
              <w14:schemeClr w14:val="tx1"/>
            </w14:solidFill>
          </w14:textFill>
        </w:rPr>
      </w:pPr>
    </w:p>
    <w:p w14:paraId="5500E610">
      <w:pPr>
        <w:pStyle w:val="18"/>
        <w:rPr>
          <w:rFonts w:hint="eastAsia" w:ascii="Times New Roman" w:hAnsi="Times New Roman"/>
          <w:color w:val="000000" w:themeColor="text1"/>
          <w:szCs w:val="21"/>
          <w:highlight w:val="yellow"/>
          <w14:textFill>
            <w14:solidFill>
              <w14:schemeClr w14:val="tx1"/>
            </w14:solidFill>
          </w14:textFill>
        </w:rPr>
      </w:pPr>
    </w:p>
    <w:p w14:paraId="355CAE99">
      <w:pPr>
        <w:pStyle w:val="18"/>
        <w:rPr>
          <w:rFonts w:hint="eastAsia" w:ascii="Times New Roman" w:hAnsi="Times New Roman"/>
          <w:color w:val="000000" w:themeColor="text1"/>
          <w:szCs w:val="21"/>
          <w:highlight w:val="yellow"/>
          <w14:textFill>
            <w14:solidFill>
              <w14:schemeClr w14:val="tx1"/>
            </w14:solidFill>
          </w14:textFill>
        </w:rPr>
      </w:pPr>
    </w:p>
    <w:p w14:paraId="14135CDD">
      <w:pPr>
        <w:pStyle w:val="18"/>
        <w:rPr>
          <w:rFonts w:hint="eastAsia" w:ascii="Times New Roman" w:hAnsi="Times New Roman"/>
          <w:color w:val="000000" w:themeColor="text1"/>
          <w:szCs w:val="21"/>
          <w:highlight w:val="yellow"/>
          <w14:textFill>
            <w14:solidFill>
              <w14:schemeClr w14:val="tx1"/>
            </w14:solidFill>
          </w14:textFill>
        </w:rPr>
      </w:pPr>
    </w:p>
    <w:p w14:paraId="133C43BF">
      <w:pPr>
        <w:pStyle w:val="18"/>
        <w:rPr>
          <w:rFonts w:hint="eastAsia" w:ascii="Times New Roman" w:hAnsi="Times New Roman"/>
          <w:color w:val="000000" w:themeColor="text1"/>
          <w:szCs w:val="21"/>
          <w:highlight w:val="yellow"/>
          <w14:textFill>
            <w14:solidFill>
              <w14:schemeClr w14:val="tx1"/>
            </w14:solidFill>
          </w14:textFill>
        </w:rPr>
      </w:pPr>
    </w:p>
    <w:p w14:paraId="3C7A7086">
      <w:pPr>
        <w:pStyle w:val="18"/>
        <w:rPr>
          <w:rFonts w:hint="eastAsia" w:ascii="Times New Roman" w:hAnsi="Times New Roman"/>
          <w:color w:val="000000" w:themeColor="text1"/>
          <w:szCs w:val="21"/>
          <w:highlight w:val="yellow"/>
          <w14:textFill>
            <w14:solidFill>
              <w14:schemeClr w14:val="tx1"/>
            </w14:solidFill>
          </w14:textFill>
        </w:rPr>
      </w:pPr>
    </w:p>
    <w:p w14:paraId="4CE30AE9">
      <w:pPr>
        <w:pStyle w:val="18"/>
        <w:rPr>
          <w:rFonts w:hint="eastAsia" w:ascii="Times New Roman" w:hAnsi="Times New Roman"/>
          <w:color w:val="000000" w:themeColor="text1"/>
          <w:szCs w:val="21"/>
          <w:highlight w:val="yellow"/>
          <w14:textFill>
            <w14:solidFill>
              <w14:schemeClr w14:val="tx1"/>
            </w14:solidFill>
          </w14:textFill>
        </w:rPr>
      </w:pPr>
    </w:p>
    <w:p w14:paraId="21A346F1">
      <w:pPr>
        <w:pStyle w:val="18"/>
        <w:rPr>
          <w:rFonts w:hint="eastAsia" w:ascii="Times New Roman" w:hAnsi="Times New Roman"/>
          <w:color w:val="000000" w:themeColor="text1"/>
          <w:szCs w:val="21"/>
          <w:highlight w:val="yellow"/>
          <w14:textFill>
            <w14:solidFill>
              <w14:schemeClr w14:val="tx1"/>
            </w14:solidFill>
          </w14:textFill>
        </w:rPr>
      </w:pPr>
    </w:p>
    <w:p w14:paraId="7CDEC4AF">
      <w:pPr>
        <w:pStyle w:val="18"/>
        <w:rPr>
          <w:rFonts w:hint="eastAsia" w:ascii="Times New Roman" w:hAnsi="Times New Roman"/>
          <w:color w:val="000000" w:themeColor="text1"/>
          <w:szCs w:val="21"/>
          <w:highlight w:val="yellow"/>
          <w14:textFill>
            <w14:solidFill>
              <w14:schemeClr w14:val="tx1"/>
            </w14:solidFill>
          </w14:textFill>
        </w:rPr>
      </w:pPr>
    </w:p>
    <w:p w14:paraId="38939695">
      <w:pPr>
        <w:pStyle w:val="18"/>
        <w:rPr>
          <w:rFonts w:hint="eastAsia" w:ascii="Times New Roman" w:hAnsi="Times New Roman"/>
          <w:color w:val="000000" w:themeColor="text1"/>
          <w:szCs w:val="21"/>
          <w:highlight w:val="yellow"/>
          <w14:textFill>
            <w14:solidFill>
              <w14:schemeClr w14:val="tx1"/>
            </w14:solidFill>
          </w14:textFill>
        </w:rPr>
      </w:pPr>
    </w:p>
    <w:p w14:paraId="71C766C9">
      <w:pPr>
        <w:pStyle w:val="18"/>
        <w:rPr>
          <w:rFonts w:hint="eastAsia" w:ascii="Times New Roman" w:hAnsi="Times New Roman"/>
          <w:color w:val="000000" w:themeColor="text1"/>
          <w:szCs w:val="21"/>
          <w:highlight w:val="yellow"/>
          <w14:textFill>
            <w14:solidFill>
              <w14:schemeClr w14:val="tx1"/>
            </w14:solidFill>
          </w14:textFill>
        </w:rPr>
      </w:pPr>
    </w:p>
    <w:p w14:paraId="786F99C7">
      <w:pPr>
        <w:pStyle w:val="18"/>
        <w:rPr>
          <w:rFonts w:hint="eastAsia" w:ascii="Times New Roman" w:hAnsi="Times New Roman"/>
          <w:color w:val="000000" w:themeColor="text1"/>
          <w:szCs w:val="21"/>
          <w:highlight w:val="yellow"/>
          <w14:textFill>
            <w14:solidFill>
              <w14:schemeClr w14:val="tx1"/>
            </w14:solidFill>
          </w14:textFill>
        </w:rPr>
      </w:pPr>
    </w:p>
    <w:p w14:paraId="5ACEDBF6">
      <w:pPr>
        <w:pStyle w:val="18"/>
        <w:rPr>
          <w:rFonts w:hint="eastAsia" w:ascii="Times New Roman" w:hAnsi="Times New Roman"/>
          <w:color w:val="000000" w:themeColor="text1"/>
          <w:szCs w:val="21"/>
          <w:highlight w:val="yellow"/>
          <w14:textFill>
            <w14:solidFill>
              <w14:schemeClr w14:val="tx1"/>
            </w14:solidFill>
          </w14:textFill>
        </w:rPr>
      </w:pPr>
    </w:p>
    <w:bookmarkEnd w:id="253"/>
    <w:p w14:paraId="3404EB9D">
      <w:pPr>
        <w:pStyle w:val="18"/>
        <w:ind w:left="0" w:leftChars="0" w:firstLine="0" w:firstLineChars="0"/>
        <w:rPr>
          <w:rFonts w:hint="eastAsia" w:ascii="Times New Roman" w:hAnsi="Times New Roman"/>
          <w:color w:val="000000" w:themeColor="text1"/>
          <w:szCs w:val="21"/>
          <w:highlight w:val="none"/>
          <w14:textFill>
            <w14:solidFill>
              <w14:schemeClr w14:val="tx1"/>
            </w14:solidFill>
          </w14:textFill>
        </w:rPr>
      </w:pPr>
    </w:p>
    <w:p w14:paraId="186C51C7">
      <w:pPr>
        <w:pStyle w:val="53"/>
        <w:spacing w:before="312" w:after="312"/>
        <w:jc w:val="center"/>
        <w:rPr>
          <w:rFonts w:hint="eastAsia" w:ascii="Times New Roman" w:hAnsi="Times New Roman" w:eastAsia="黑体"/>
          <w:color w:val="000000" w:themeColor="text1"/>
          <w:szCs w:val="21"/>
          <w:highlight w:val="none"/>
          <w:lang w:eastAsia="zh-CN"/>
          <w14:textFill>
            <w14:solidFill>
              <w14:schemeClr w14:val="tx1"/>
            </w14:solidFill>
          </w14:textFill>
        </w:rPr>
      </w:pPr>
      <w:bookmarkStart w:id="254" w:name="_Toc21620"/>
      <w:r>
        <w:rPr>
          <w:rFonts w:hint="eastAsia" w:ascii="Times New Roman" w:hAnsi="Times New Roman"/>
          <w:color w:val="000000" w:themeColor="text1"/>
          <w:szCs w:val="21"/>
          <w:highlight w:val="none"/>
          <w14:textFill>
            <w14:solidFill>
              <w14:schemeClr w14:val="tx1"/>
            </w14:solidFill>
          </w14:textFill>
        </w:rPr>
        <w:t xml:space="preserve">附 </w:t>
      </w:r>
      <w:r>
        <w:rPr>
          <w:rFonts w:ascii="Times New Roman" w:hAnsi="Times New Roman"/>
          <w:color w:val="000000" w:themeColor="text1"/>
          <w:szCs w:val="21"/>
          <w:highlight w:val="none"/>
          <w14:textFill>
            <w14:solidFill>
              <w14:schemeClr w14:val="tx1"/>
            </w14:solidFill>
          </w14:textFill>
        </w:rPr>
        <w:t xml:space="preserve"> </w:t>
      </w:r>
      <w:r>
        <w:rPr>
          <w:rFonts w:hint="eastAsia" w:ascii="Times New Roman" w:hAnsi="Times New Roman"/>
          <w:color w:val="000000" w:themeColor="text1"/>
          <w:szCs w:val="21"/>
          <w:highlight w:val="none"/>
          <w14:textFill>
            <w14:solidFill>
              <w14:schemeClr w14:val="tx1"/>
            </w14:solidFill>
          </w14:textFill>
        </w:rPr>
        <w:t xml:space="preserve">录  </w:t>
      </w:r>
      <w:bookmarkEnd w:id="252"/>
      <w:bookmarkEnd w:id="254"/>
      <w:r>
        <w:rPr>
          <w:rFonts w:hint="eastAsia" w:ascii="Times New Roman" w:hAnsi="Times New Roman"/>
          <w:color w:val="000000" w:themeColor="text1"/>
          <w:szCs w:val="21"/>
          <w:highlight w:val="none"/>
          <w:lang w:val="en-US" w:eastAsia="zh-CN"/>
          <w14:textFill>
            <w14:solidFill>
              <w14:schemeClr w14:val="tx1"/>
            </w14:solidFill>
          </w14:textFill>
        </w:rPr>
        <w:t>A</w:t>
      </w:r>
    </w:p>
    <w:p w14:paraId="0E89F46C">
      <w:pPr>
        <w:pStyle w:val="53"/>
        <w:spacing w:before="312" w:after="312"/>
        <w:jc w:val="center"/>
        <w:rPr>
          <w:rFonts w:ascii="Times New Roman" w:hAnsi="Times New Roman"/>
          <w:highlight w:val="none"/>
        </w:rPr>
      </w:pPr>
      <w:bookmarkStart w:id="255" w:name="_Toc24185"/>
      <w:bookmarkStart w:id="256" w:name="_Toc26902"/>
      <w:bookmarkStart w:id="257" w:name="_Toc3605"/>
      <w:r>
        <w:rPr>
          <w:rFonts w:hint="eastAsia" w:ascii="Times New Roman" w:hAnsi="Times New Roman"/>
          <w:highlight w:val="none"/>
        </w:rPr>
        <w:t>（规范性）</w:t>
      </w:r>
      <w:bookmarkEnd w:id="255"/>
      <w:bookmarkEnd w:id="256"/>
      <w:bookmarkEnd w:id="257"/>
    </w:p>
    <w:p w14:paraId="2CFB1C21">
      <w:pPr>
        <w:keepNext w:val="0"/>
        <w:keepLines w:val="0"/>
        <w:pageBreakBefore w:val="0"/>
        <w:widowControl w:val="0"/>
        <w:kinsoku/>
        <w:wordWrap/>
        <w:overflowPunct/>
        <w:topLinePunct w:val="0"/>
        <w:autoSpaceDE/>
        <w:autoSpaceDN/>
        <w:bidi w:val="0"/>
        <w:adjustRightInd/>
        <w:snapToGrid/>
        <w:spacing w:before="157" w:beforeLines="50" w:after="157" w:afterLines="50"/>
        <w:ind w:firstLine="28"/>
        <w:jc w:val="center"/>
        <w:textAlignment w:val="auto"/>
        <w:rPr>
          <w:rFonts w:hint="eastAsia" w:ascii="Times New Roman" w:hAnsi="Times New Roman" w:cs="Times New Roman"/>
          <w:sz w:val="21"/>
          <w:szCs w:val="21"/>
          <w:highlight w:val="none"/>
          <w:lang w:val="en-US" w:eastAsia="zh-CN"/>
        </w:rPr>
      </w:pPr>
      <w:r>
        <w:rPr>
          <w:rFonts w:hint="eastAsia" w:eastAsia="黑体"/>
          <w:sz w:val="21"/>
          <w:highlight w:val="none"/>
          <w:lang w:val="en-US" w:eastAsia="zh-CN"/>
        </w:rPr>
        <w:t>玻璃熔窑用熔铸氧化铝耐火制品</w:t>
      </w:r>
    </w:p>
    <w:p w14:paraId="5D727E64">
      <w:pPr>
        <w:keepNext w:val="0"/>
        <w:keepLines w:val="0"/>
        <w:pageBreakBefore w:val="0"/>
        <w:widowControl w:val="0"/>
        <w:kinsoku/>
        <w:wordWrap/>
        <w:overflowPunct/>
        <w:topLinePunct w:val="0"/>
        <w:autoSpaceDE/>
        <w:autoSpaceDN/>
        <w:bidi w:val="0"/>
        <w:adjustRightInd/>
        <w:snapToGrid/>
        <w:spacing w:before="157" w:beforeLines="50" w:after="157" w:afterLines="50"/>
        <w:ind w:firstLine="28"/>
        <w:jc w:val="center"/>
        <w:textAlignment w:val="auto"/>
        <w:rPr>
          <w:rFonts w:eastAsia="黑体"/>
          <w:sz w:val="21"/>
          <w:highlight w:val="none"/>
        </w:rPr>
      </w:pPr>
      <w:r>
        <w:rPr>
          <w:rFonts w:hint="eastAsia" w:eastAsia="黑体"/>
          <w:sz w:val="21"/>
          <w:highlight w:val="none"/>
          <w:lang w:eastAsia="zh-CN"/>
        </w:rPr>
        <w:t>容重计算</w:t>
      </w:r>
      <w:r>
        <w:rPr>
          <w:rFonts w:eastAsia="黑体"/>
          <w:sz w:val="21"/>
          <w:highlight w:val="none"/>
        </w:rPr>
        <w:t>方法</w:t>
      </w:r>
    </w:p>
    <w:p w14:paraId="373E1ABC">
      <w:pPr>
        <w:pStyle w:val="62"/>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363" w:leftChars="0" w:hanging="363" w:firstLineChars="0"/>
        <w:textAlignment w:val="auto"/>
        <w:rPr>
          <w:rFonts w:hint="eastAsia" w:ascii="黑体" w:hAnsi="黑体" w:eastAsia="黑体" w:cs="黑体"/>
          <w:color w:val="000000" w:themeColor="text1"/>
          <w:sz w:val="21"/>
          <w:szCs w:val="21"/>
          <w:highlight w:val="none"/>
          <w14:textFill>
            <w14:solidFill>
              <w14:schemeClr w14:val="tx1"/>
            </w14:solidFill>
          </w14:textFill>
        </w:rPr>
      </w:pPr>
      <w:bookmarkStart w:id="258" w:name="_Toc29023"/>
      <w:r>
        <w:rPr>
          <w:rFonts w:hint="eastAsia" w:ascii="黑体" w:hAnsi="黑体" w:eastAsia="黑体" w:cs="黑体"/>
          <w:color w:val="000000" w:themeColor="text1"/>
          <w:sz w:val="21"/>
          <w:szCs w:val="21"/>
          <w:highlight w:val="none"/>
          <w:lang w:val="en-US" w:eastAsia="zh-CN" w:bidi="ar-SA"/>
          <w14:textFill>
            <w14:solidFill>
              <w14:schemeClr w14:val="tx1"/>
            </w14:solidFill>
          </w14:textFill>
        </w:rPr>
        <w:t>A.1</w:t>
      </w:r>
      <w:r>
        <w:rPr>
          <w:rFonts w:hint="eastAsia" w:ascii="黑体" w:hAnsi="黑体" w:eastAsia="黑体" w:cs="黑体"/>
          <w:color w:val="000000" w:themeColor="text1"/>
          <w:sz w:val="21"/>
          <w:szCs w:val="21"/>
          <w:highlight w:val="none"/>
          <w14:textFill>
            <w14:solidFill>
              <w14:schemeClr w14:val="tx1"/>
            </w14:solidFill>
          </w14:textFill>
        </w:rPr>
        <w:t xml:space="preserve">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概述</w:t>
      </w:r>
    </w:p>
    <w:p w14:paraId="2A5C856F">
      <w:pPr>
        <w:ind w:firstLine="420" w:firstLineChars="200"/>
        <w:rPr>
          <w:rFonts w:hint="eastAsia" w:ascii="Times New Roman" w:hAnsi="Times New Roman" w:eastAsia="宋体" w:cs="宋体"/>
          <w:color w:val="000000" w:themeColor="text1"/>
          <w:kern w:val="0"/>
          <w:sz w:val="21"/>
          <w:szCs w:val="21"/>
          <w:lang w:eastAsia="zh-CN"/>
          <w14:textFill>
            <w14:solidFill>
              <w14:schemeClr w14:val="tx1"/>
            </w14:solidFill>
          </w14:textFill>
        </w:rPr>
      </w:pPr>
      <w:r>
        <w:rPr>
          <w:rFonts w:hint="eastAsia" w:ascii="Times New Roman" w:hAnsi="Times New Roman" w:eastAsia="宋体" w:cs="宋体"/>
          <w:color w:val="000000" w:themeColor="text1"/>
          <w:kern w:val="0"/>
          <w:sz w:val="21"/>
          <w:szCs w:val="21"/>
          <w:highlight w:val="none"/>
          <w14:textFill>
            <w14:solidFill>
              <w14:schemeClr w14:val="tx1"/>
            </w14:solidFill>
          </w14:textFill>
        </w:rPr>
        <w:t>本附录规定了</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玻璃</w:t>
      </w:r>
      <w:r>
        <w:rPr>
          <w:rFonts w:hint="eastAsia" w:ascii="Times New Roman" w:hAnsi="Times New Roman" w:eastAsia="宋体" w:cs="宋体"/>
          <w:color w:val="000000" w:themeColor="text1"/>
          <w:kern w:val="0"/>
          <w:sz w:val="21"/>
          <w:szCs w:val="21"/>
          <w:highlight w:val="none"/>
          <w:lang w:val="en-US" w:eastAsia="zh-CN"/>
          <w14:textFill>
            <w14:solidFill>
              <w14:schemeClr w14:val="tx1"/>
            </w14:solidFill>
          </w14:textFill>
        </w:rPr>
        <w:t>熔</w:t>
      </w:r>
      <w:r>
        <w:rPr>
          <w:rFonts w:hint="eastAsia" w:ascii="Times New Roman" w:hAnsi="Times New Roman" w:eastAsia="宋体" w:cs="宋体"/>
          <w:color w:val="000000" w:themeColor="text1"/>
          <w:kern w:val="0"/>
          <w:sz w:val="21"/>
          <w:szCs w:val="21"/>
          <w:highlight w:val="none"/>
          <w:lang w:eastAsia="zh-CN"/>
          <w14:textFill>
            <w14:solidFill>
              <w14:schemeClr w14:val="tx1"/>
            </w14:solidFill>
          </w14:textFill>
        </w:rPr>
        <w:t>窑用熔铸氧化铝耐火制品容重的计算方</w:t>
      </w:r>
      <w:r>
        <w:rPr>
          <w:rFonts w:hint="eastAsia" w:ascii="Times New Roman" w:hAnsi="Times New Roman" w:eastAsia="宋体" w:cs="宋体"/>
          <w:color w:val="000000" w:themeColor="text1"/>
          <w:kern w:val="0"/>
          <w:sz w:val="21"/>
          <w:szCs w:val="21"/>
          <w:lang w:eastAsia="zh-CN"/>
          <w14:textFill>
            <w14:solidFill>
              <w14:schemeClr w14:val="tx1"/>
            </w14:solidFill>
          </w14:textFill>
        </w:rPr>
        <w:t>法。</w:t>
      </w:r>
    </w:p>
    <w:p w14:paraId="7A570E40">
      <w:pPr>
        <w:pStyle w:val="22"/>
        <w:numPr>
          <w:ilvl w:val="1"/>
          <w:numId w:val="0"/>
        </w:numPr>
        <w:spacing w:before="156" w:after="156"/>
        <w:rPr>
          <w:rFonts w:hint="eastAsia" w:hAnsi="Times New Roman" w:eastAsia="黑体"/>
          <w:color w:val="000000"/>
          <w:lang w:eastAsia="zh-CN"/>
        </w:rPr>
      </w:pPr>
      <w:r>
        <w:rPr>
          <w:rFonts w:hint="eastAsia" w:hAnsi="黑体" w:cs="黑体"/>
          <w:color w:val="000000" w:themeColor="text1"/>
          <w:kern w:val="2"/>
          <w:sz w:val="21"/>
          <w:szCs w:val="21"/>
          <w:lang w:val="en-US" w:eastAsia="zh-CN" w:bidi="ar-SA"/>
          <w14:textFill>
            <w14:solidFill>
              <w14:schemeClr w14:val="tx1"/>
            </w14:solidFill>
          </w14:textFill>
        </w:rPr>
        <w:t>A</w:t>
      </w:r>
      <w:r>
        <w:rPr>
          <w:rFonts w:hint="eastAsia" w:ascii="黑体" w:hAnsi="黑体" w:eastAsia="黑体" w:cs="黑体"/>
          <w:color w:val="000000" w:themeColor="text1"/>
          <w:kern w:val="2"/>
          <w:sz w:val="21"/>
          <w:szCs w:val="21"/>
          <w:lang w:val="en-US" w:eastAsia="zh-CN" w:bidi="ar-SA"/>
          <w14:textFill>
            <w14:solidFill>
              <w14:schemeClr w14:val="tx1"/>
            </w14:solidFill>
          </w14:textFill>
        </w:rPr>
        <w:t>.2</w:t>
      </w:r>
      <w:r>
        <w:rPr>
          <w:rFonts w:hint="eastAsia" w:hAnsi="Times New Roman"/>
          <w:color w:val="000000"/>
        </w:rPr>
        <w:t>　</w:t>
      </w:r>
      <w:r>
        <w:rPr>
          <w:rFonts w:hint="eastAsia" w:hAnsi="Times New Roman"/>
          <w:color w:val="000000"/>
          <w:lang w:eastAsia="zh-CN"/>
        </w:rPr>
        <w:t>容重的计算方法</w:t>
      </w:r>
    </w:p>
    <w:p w14:paraId="4BE318AF">
      <w:pPr>
        <w:pStyle w:val="22"/>
        <w:keepNext w:val="0"/>
        <w:keepLines w:val="0"/>
        <w:pageBreakBefore w:val="0"/>
        <w:widowControl/>
        <w:numPr>
          <w:ilvl w:val="1"/>
          <w:numId w:val="0"/>
        </w:numPr>
        <w:kinsoku/>
        <w:wordWrap/>
        <w:overflowPunct/>
        <w:topLinePunct w:val="0"/>
        <w:autoSpaceDE/>
        <w:autoSpaceDN/>
        <w:bidi w:val="0"/>
        <w:adjustRightInd/>
        <w:snapToGrid/>
        <w:spacing w:before="156" w:after="156"/>
        <w:ind w:firstLine="420" w:firstLineChars="200"/>
        <w:textAlignment w:val="auto"/>
        <w:rPr>
          <w:rFonts w:hint="eastAsia" w:hAnsi="Times New Roman" w:eastAsia="黑体"/>
          <w:color w:val="000000"/>
          <w:lang w:eastAsia="zh-CN"/>
        </w:rPr>
      </w:pPr>
      <w:r>
        <w:rPr>
          <w:rFonts w:hint="eastAsia" w:ascii="宋体" w:hAnsi="宋体" w:eastAsia="宋体" w:cs="宋体"/>
          <w:lang w:eastAsia="zh-CN"/>
        </w:rPr>
        <w:t>容重的检验按公式</w:t>
      </w:r>
      <w:r>
        <w:rPr>
          <w:rFonts w:hint="default" w:ascii="Times New Roman" w:hAnsi="Times New Roman" w:eastAsia="宋体" w:cs="Times New Roman"/>
          <w:lang w:eastAsia="zh-CN"/>
        </w:rPr>
        <w:t>（</w:t>
      </w:r>
      <w:r>
        <w:rPr>
          <w:rFonts w:hint="eastAsia" w:ascii="Times New Roman" w:hAnsi="Times New Roman" w:eastAsia="宋体" w:cs="Times New Roman"/>
          <w:lang w:val="en-US" w:eastAsia="zh-CN"/>
        </w:rPr>
        <w:t>A</w:t>
      </w:r>
      <w:r>
        <w:rPr>
          <w:rFonts w:hint="default" w:ascii="Times New Roman" w:hAnsi="Times New Roman" w:eastAsia="宋体" w:cs="Times New Roman"/>
          <w:lang w:val="en-US" w:eastAsia="zh-CN"/>
        </w:rPr>
        <w:t>.</w:t>
      </w:r>
      <w:r>
        <w:rPr>
          <w:rFonts w:hint="eastAsia" w:ascii="宋体" w:hAnsi="宋体" w:eastAsia="宋体" w:cs="宋体"/>
          <w:lang w:val="en-US" w:eastAsia="zh-CN"/>
        </w:rPr>
        <w:t>1</w:t>
      </w:r>
      <w:r>
        <w:rPr>
          <w:rFonts w:hint="default" w:ascii="Times New Roman" w:hAnsi="Times New Roman" w:eastAsia="宋体" w:cs="Times New Roman"/>
          <w:lang w:eastAsia="zh-CN"/>
        </w:rPr>
        <w:t>）</w:t>
      </w:r>
      <w:r>
        <w:rPr>
          <w:rFonts w:hint="eastAsia" w:ascii="宋体" w:hAnsi="宋体" w:eastAsia="宋体" w:cs="宋体"/>
          <w:lang w:eastAsia="zh-CN"/>
        </w:rPr>
        <w:t>的规定进行。</w:t>
      </w:r>
      <w:bookmarkEnd w:id="258"/>
    </w:p>
    <w:p w14:paraId="6B37B267">
      <w:pPr>
        <w:pStyle w:val="18"/>
        <w:rPr>
          <w:rFonts w:hint="eastAsia" w:hAnsi="宋体" w:eastAsia="宋体" w:cs="宋体"/>
          <w:color w:val="000000"/>
          <w:lang w:eastAsia="zh-CN"/>
        </w:rPr>
      </w:pPr>
      <w:r>
        <w:rPr>
          <w:rFonts w:hint="eastAsia" w:hAnsi="宋体" w:cs="宋体"/>
          <w:color w:val="000000"/>
        </w:rPr>
        <w:t>用感量小于0.1</w:t>
      </w:r>
      <w:r>
        <w:rPr>
          <w:rFonts w:ascii="Times New Roman" w:hAnsi="Times New Roman"/>
          <w:color w:val="000000"/>
        </w:rPr>
        <w:t>kg</w:t>
      </w:r>
      <w:r>
        <w:rPr>
          <w:rFonts w:hint="eastAsia" w:hAnsi="宋体" w:cs="宋体"/>
          <w:color w:val="000000"/>
        </w:rPr>
        <w:t>的磅秤称量制品并按公式</w:t>
      </w:r>
      <w:r>
        <w:rPr>
          <w:rFonts w:hint="default" w:ascii="Times New Roman" w:hAnsi="Times New Roman" w:eastAsia="宋体" w:cs="Times New Roman"/>
          <w:lang w:eastAsia="zh-CN"/>
        </w:rPr>
        <w:t>（</w:t>
      </w:r>
      <w:r>
        <w:rPr>
          <w:rFonts w:hint="eastAsia" w:ascii="Times New Roman" w:hAnsi="Times New Roman" w:cs="Times New Roman"/>
          <w:lang w:val="en-US" w:eastAsia="zh-CN"/>
        </w:rPr>
        <w:t>A</w:t>
      </w:r>
      <w:r>
        <w:rPr>
          <w:rFonts w:hint="default" w:ascii="Times New Roman" w:hAnsi="Times New Roman" w:eastAsia="宋体" w:cs="Times New Roman"/>
          <w:lang w:val="en-US" w:eastAsia="zh-CN"/>
        </w:rPr>
        <w:t>.</w:t>
      </w:r>
      <w:r>
        <w:rPr>
          <w:rFonts w:hint="eastAsia" w:ascii="宋体" w:hAnsi="宋体" w:eastAsia="宋体" w:cs="宋体"/>
          <w:lang w:val="en-US" w:eastAsia="zh-CN"/>
        </w:rPr>
        <w:t>1</w:t>
      </w:r>
      <w:r>
        <w:rPr>
          <w:rFonts w:hint="default" w:ascii="Times New Roman" w:hAnsi="Times New Roman" w:eastAsia="宋体" w:cs="Times New Roman"/>
          <w:lang w:eastAsia="zh-CN"/>
        </w:rPr>
        <w:t>）</w:t>
      </w:r>
      <w:r>
        <w:rPr>
          <w:rFonts w:hint="eastAsia" w:hAnsi="宋体" w:cs="宋体"/>
          <w:color w:val="000000"/>
        </w:rPr>
        <w:t>计算</w:t>
      </w:r>
      <w:r>
        <w:rPr>
          <w:rFonts w:hint="eastAsia" w:hAnsi="宋体" w:cs="宋体"/>
          <w:color w:val="000000"/>
          <w:lang w:eastAsia="zh-CN"/>
        </w:rPr>
        <w:t>：</w:t>
      </w:r>
    </w:p>
    <w:p w14:paraId="52C40072">
      <w:pPr>
        <w:pStyle w:val="18"/>
        <w:ind w:firstLine="4410" w:firstLineChars="2100"/>
        <w:rPr>
          <w:rFonts w:hAnsi="Cambria Math" w:cs="宋体"/>
          <w:color w:val="000000"/>
        </w:rPr>
      </w:pPr>
      <m:oMath>
        <m:r>
          <m:rPr>
            <m:nor/>
          </m:rPr>
          <w:rPr>
            <w:rFonts w:hint="default" w:ascii="Times New Roman" w:hAnsi="Times New Roman" w:cs="Times New Roman"/>
            <w:i/>
            <w:iCs/>
            <w:color w:val="000000"/>
          </w:rPr>
          <m:t>γ</m:t>
        </m:r>
        <m:r>
          <m:rPr>
            <m:nor/>
          </m:rPr>
          <w:rPr>
            <w:rFonts w:hint="eastAsia" w:ascii="Cambria Math" w:hAnsi="Cambria Math" w:cs="宋体"/>
            <w:i/>
            <w:iCs/>
            <w:color w:val="000000"/>
          </w:rPr>
          <m:t>=</m:t>
        </m:r>
        <m:f>
          <m:fPr>
            <m:ctrlPr>
              <w:rPr>
                <w:rFonts w:hint="eastAsia" w:ascii="Cambria Math" w:hAnsi="Cambria Math" w:cs="宋体"/>
                <w:i/>
                <w:iCs/>
                <w:color w:val="000000"/>
              </w:rPr>
            </m:ctrlPr>
          </m:fPr>
          <m:num>
            <m:r>
              <m:rPr>
                <m:nor/>
              </m:rPr>
              <w:rPr>
                <w:rFonts w:hint="default" w:ascii="Times New Roman" w:hAnsi="Times New Roman" w:eastAsia="MS Mincho" w:cs="Times New Roman"/>
                <w:i/>
                <w:iCs/>
                <w:color w:val="000000"/>
              </w:rPr>
              <m:t>m</m:t>
            </m:r>
            <m:ctrlPr>
              <w:rPr>
                <w:rFonts w:hint="eastAsia" w:ascii="Cambria Math" w:hAnsi="Cambria Math" w:cs="宋体"/>
                <w:i/>
                <w:iCs/>
                <w:color w:val="000000"/>
              </w:rPr>
            </m:ctrlPr>
          </m:num>
          <m:den>
            <m:r>
              <m:rPr>
                <m:nor/>
              </m:rPr>
              <w:rPr>
                <w:rFonts w:hint="default" w:ascii="Times New Roman" w:hAnsi="Times New Roman" w:eastAsia="MS Mincho" w:cs="Times New Roman"/>
                <w:i/>
                <w:iCs/>
                <w:color w:val="000000"/>
              </w:rPr>
              <m:t>V</m:t>
            </m:r>
            <m:ctrlPr>
              <w:rPr>
                <w:rFonts w:hint="eastAsia" w:ascii="Cambria Math" w:hAnsi="Cambria Math" w:cs="宋体"/>
                <w:i/>
                <w:iCs/>
                <w:color w:val="000000"/>
              </w:rPr>
            </m:ctrlPr>
          </m:den>
        </m:f>
      </m:oMath>
      <w:r>
        <w:rPr>
          <w:rFonts w:hint="eastAsia" w:hAnsi="Cambria Math" w:cs="宋体"/>
          <w:color w:val="000000"/>
        </w:rPr>
        <w:t xml:space="preserve">                </w:t>
      </w:r>
      <w:r>
        <w:rPr>
          <w:rFonts w:hint="eastAsia" w:hAnsi="宋体" w:cs="宋体"/>
          <w:color w:val="000000"/>
        </w:rPr>
        <w:t>…………………………</w:t>
      </w:r>
      <w:r>
        <w:rPr>
          <w:rFonts w:hint="default" w:ascii="Times New Roman" w:hAnsi="Times New Roman" w:eastAsia="宋体" w:cs="Times New Roman"/>
          <w:lang w:eastAsia="zh-CN"/>
        </w:rPr>
        <w:t>（</w:t>
      </w:r>
      <w:r>
        <w:rPr>
          <w:rFonts w:hint="eastAsia" w:ascii="Times New Roman" w:hAnsi="Times New Roman" w:cs="Times New Roman"/>
          <w:lang w:val="en-US" w:eastAsia="zh-CN"/>
        </w:rPr>
        <w:t>A</w:t>
      </w:r>
      <w:r>
        <w:rPr>
          <w:rFonts w:hint="default" w:ascii="Times New Roman" w:hAnsi="Times New Roman" w:eastAsia="宋体" w:cs="Times New Roman"/>
          <w:lang w:val="en-US" w:eastAsia="zh-CN"/>
        </w:rPr>
        <w:t>.</w:t>
      </w:r>
      <w:r>
        <w:rPr>
          <w:rFonts w:hint="eastAsia" w:ascii="宋体" w:hAnsi="宋体" w:eastAsia="宋体" w:cs="宋体"/>
          <w:lang w:val="en-US" w:eastAsia="zh-CN"/>
        </w:rPr>
        <w:t>1</w:t>
      </w:r>
      <w:r>
        <w:rPr>
          <w:rFonts w:hint="default" w:ascii="Times New Roman" w:hAnsi="Times New Roman" w:eastAsia="宋体" w:cs="Times New Roman"/>
          <w:lang w:eastAsia="zh-CN"/>
        </w:rPr>
        <w:t>）</w:t>
      </w:r>
    </w:p>
    <w:p w14:paraId="4451E5F6">
      <w:pPr>
        <w:pStyle w:val="18"/>
        <w:rPr>
          <w:rFonts w:hint="eastAsia" w:hAnsi="宋体" w:cs="宋体"/>
          <w:color w:val="000000"/>
        </w:rPr>
      </w:pPr>
      <w:r>
        <w:rPr>
          <w:rFonts w:hint="eastAsia" w:hAnsi="宋体" w:cs="宋体"/>
          <w:color w:val="000000"/>
        </w:rPr>
        <w:t>式中：</w:t>
      </w:r>
    </w:p>
    <w:p w14:paraId="14EFF253">
      <w:pPr>
        <w:pStyle w:val="18"/>
        <w:keepNext w:val="0"/>
        <w:keepLines w:val="0"/>
        <w:pageBreakBefore w:val="0"/>
        <w:widowControl/>
        <w:kinsoku/>
        <w:wordWrap/>
        <w:overflowPunct/>
        <w:topLinePunct w:val="0"/>
        <w:autoSpaceDE w:val="0"/>
        <w:autoSpaceDN w:val="0"/>
        <w:bidi w:val="0"/>
        <w:adjustRightInd/>
        <w:snapToGrid/>
        <w:textAlignment w:val="auto"/>
        <w:rPr>
          <w:rFonts w:hint="eastAsia" w:hAnsi="宋体" w:eastAsia="宋体" w:cs="宋体"/>
          <w:color w:val="000000"/>
          <w:lang w:eastAsia="zh-CN"/>
        </w:rPr>
      </w:pPr>
      <m:oMath>
        <m:r>
          <m:rPr>
            <m:nor/>
          </m:rPr>
          <w:rPr>
            <w:rFonts w:hint="default" w:ascii="Times New Roman" w:hAnsi="Times New Roman" w:cs="Times New Roman"/>
            <w:i/>
            <w:iCs/>
            <w:color w:val="000000"/>
          </w:rPr>
          <m:t>γ</m:t>
        </m:r>
      </m:oMath>
      <w:r>
        <w:rPr>
          <w:rFonts w:hint="eastAsia" w:ascii="微软雅黑" w:hAnsi="微软雅黑" w:eastAsia="微软雅黑" w:cs="微软雅黑"/>
          <w:color w:val="000000"/>
        </w:rPr>
        <w:t>——</w:t>
      </w:r>
      <w:r>
        <w:rPr>
          <w:rFonts w:hint="eastAsia" w:hAnsi="宋体" w:cs="宋体"/>
          <w:color w:val="000000"/>
        </w:rPr>
        <w:t>制品的容重，单位为千克每立方米</w:t>
      </w:r>
      <w:r>
        <w:rPr>
          <w:rFonts w:hint="default" w:ascii="Times New Roman" w:hAnsi="Times New Roman" w:eastAsia="宋体" w:cs="Times New Roman"/>
          <w:lang w:eastAsia="zh-CN"/>
        </w:rPr>
        <w:t>（</w:t>
      </w:r>
      <w:r>
        <w:rPr>
          <w:rFonts w:ascii="Times New Roman" w:hAnsi="Times New Roman"/>
          <w:color w:val="000000"/>
        </w:rPr>
        <w:t>kg/m</w:t>
      </w:r>
      <w:r>
        <w:rPr>
          <w:rFonts w:ascii="Times New Roman" w:hAnsi="Times New Roman"/>
          <w:color w:val="000000"/>
          <w:vertAlign w:val="superscript"/>
        </w:rPr>
        <w:t>3</w:t>
      </w:r>
      <w:r>
        <w:rPr>
          <w:rFonts w:hint="default" w:ascii="Times New Roman" w:hAnsi="Times New Roman" w:eastAsia="宋体" w:cs="Times New Roman"/>
          <w:lang w:eastAsia="zh-CN"/>
        </w:rPr>
        <w:t>）</w:t>
      </w:r>
      <w:r>
        <w:rPr>
          <w:rFonts w:hint="eastAsia" w:hAnsi="宋体" w:cs="宋体"/>
          <w:color w:val="000000"/>
          <w:lang w:eastAsia="zh-CN"/>
        </w:rPr>
        <w:t>；</w:t>
      </w:r>
    </w:p>
    <w:p w14:paraId="54301977">
      <w:pPr>
        <w:pStyle w:val="18"/>
        <w:rPr>
          <w:rFonts w:hint="eastAsia" w:hAnsi="宋体" w:eastAsia="宋体" w:cs="宋体"/>
          <w:color w:val="000000"/>
          <w:lang w:eastAsia="zh-CN"/>
        </w:rPr>
      </w:pPr>
      <m:oMath>
        <m:r>
          <m:rPr>
            <m:nor/>
          </m:rPr>
          <w:rPr>
            <w:rFonts w:hint="default" w:ascii="Times New Roman" w:hAnsi="Times New Roman" w:eastAsia="MS Mincho" w:cs="Times New Roman"/>
            <w:i/>
            <w:iCs/>
            <w:color w:val="000000"/>
          </w:rPr>
          <m:t>m</m:t>
        </m:r>
      </m:oMath>
      <w:r>
        <w:rPr>
          <w:rFonts w:hint="eastAsia" w:ascii="微软雅黑" w:hAnsi="微软雅黑" w:eastAsia="微软雅黑" w:cs="微软雅黑"/>
          <w:color w:val="000000"/>
        </w:rPr>
        <w:t>——</w:t>
      </w:r>
      <w:r>
        <w:rPr>
          <w:rFonts w:hint="eastAsia" w:hAnsi="宋体" w:cs="宋体"/>
          <w:color w:val="000000"/>
        </w:rPr>
        <w:t>制品的质量，单位为千克</w:t>
      </w:r>
      <w:r>
        <w:rPr>
          <w:rFonts w:hint="default" w:ascii="Times New Roman" w:hAnsi="Times New Roman" w:eastAsia="宋体" w:cs="Times New Roman"/>
          <w:lang w:eastAsia="zh-CN"/>
        </w:rPr>
        <w:t>（</w:t>
      </w:r>
      <w:r>
        <w:rPr>
          <w:rFonts w:ascii="Times New Roman" w:hAnsi="Times New Roman"/>
          <w:color w:val="000000"/>
        </w:rPr>
        <w:t>kg</w:t>
      </w:r>
      <w:r>
        <w:rPr>
          <w:rFonts w:hint="default" w:ascii="Times New Roman" w:hAnsi="Times New Roman" w:eastAsia="宋体" w:cs="Times New Roman"/>
          <w:lang w:eastAsia="zh-CN"/>
        </w:rPr>
        <w:t>）</w:t>
      </w:r>
      <w:r>
        <w:rPr>
          <w:rFonts w:hint="eastAsia" w:hAnsi="宋体" w:cs="宋体"/>
          <w:color w:val="000000"/>
          <w:lang w:eastAsia="zh-CN"/>
        </w:rPr>
        <w:t>；</w:t>
      </w:r>
    </w:p>
    <w:p w14:paraId="544DD6BA">
      <w:pPr>
        <w:pStyle w:val="18"/>
        <w:rPr>
          <w:rFonts w:hint="eastAsia" w:hAnsi="宋体" w:cs="宋体"/>
          <w:color w:val="000000"/>
        </w:rPr>
      </w:pPr>
      <m:oMath>
        <m:r>
          <m:rPr>
            <m:nor/>
          </m:rPr>
          <w:rPr>
            <w:rFonts w:hint="default" w:ascii="Times New Roman" w:hAnsi="Times New Roman" w:eastAsia="MS Mincho" w:cs="Times New Roman"/>
            <w:i/>
            <w:iCs/>
            <w:color w:val="000000"/>
          </w:rPr>
          <m:t>V</m:t>
        </m:r>
      </m:oMath>
      <w:r>
        <w:rPr>
          <w:rFonts w:hint="eastAsia" w:hAnsi="宋体" w:cs="宋体"/>
          <w:color w:val="000000"/>
        </w:rPr>
        <w:t xml:space="preserve"> </w:t>
      </w:r>
      <w:r>
        <w:rPr>
          <w:rFonts w:hint="eastAsia" w:ascii="微软雅黑" w:hAnsi="微软雅黑" w:eastAsia="微软雅黑" w:cs="微软雅黑"/>
          <w:color w:val="000000"/>
        </w:rPr>
        <w:t>——</w:t>
      </w:r>
      <w:r>
        <w:rPr>
          <w:rFonts w:hint="eastAsia" w:hAnsi="宋体" w:cs="宋体"/>
          <w:color w:val="000000"/>
        </w:rPr>
        <w:t>制品的体积，单位为立方米</w:t>
      </w:r>
      <w:r>
        <w:rPr>
          <w:rFonts w:hint="default" w:ascii="Times New Roman" w:hAnsi="Times New Roman" w:eastAsia="宋体" w:cs="Times New Roman"/>
          <w:lang w:eastAsia="zh-CN"/>
        </w:rPr>
        <w:t>（</w:t>
      </w:r>
      <w:r>
        <w:rPr>
          <w:rFonts w:ascii="Times New Roman" w:hAnsi="Times New Roman"/>
          <w:color w:val="000000"/>
        </w:rPr>
        <w:t>m</w:t>
      </w:r>
      <w:r>
        <w:rPr>
          <w:rFonts w:ascii="Times New Roman" w:hAnsi="Times New Roman"/>
          <w:color w:val="000000"/>
          <w:vertAlign w:val="superscript"/>
        </w:rPr>
        <w:t>3</w:t>
      </w:r>
      <w:r>
        <w:rPr>
          <w:rFonts w:hint="default" w:ascii="Times New Roman" w:hAnsi="Times New Roman" w:eastAsia="宋体" w:cs="Times New Roman"/>
          <w:lang w:eastAsia="zh-CN"/>
        </w:rPr>
        <w:t>）</w:t>
      </w:r>
      <w:r>
        <w:rPr>
          <w:rFonts w:hint="eastAsia" w:hAnsi="宋体" w:cs="宋体"/>
          <w:color w:val="000000"/>
        </w:rPr>
        <w:t>。</w:t>
      </w:r>
    </w:p>
    <w:p w14:paraId="49337802">
      <w:pPr>
        <w:pStyle w:val="18"/>
        <w:rPr>
          <w:rFonts w:hint="eastAsia" w:hAnsi="宋体" w:cs="宋体"/>
          <w:color w:val="000000"/>
        </w:rPr>
      </w:pPr>
      <w:r>
        <w:rPr>
          <w:rFonts w:hint="eastAsia" w:hAnsi="宋体" w:cs="宋体"/>
          <w:color w:val="000000"/>
        </w:rPr>
        <w:t>结果取整数。</w:t>
      </w:r>
    </w:p>
    <w:p w14:paraId="5F3536AA">
      <w:pPr>
        <w:pStyle w:val="18"/>
        <w:rPr>
          <w:rFonts w:hint="eastAsia" w:hAnsi="宋体" w:cs="宋体"/>
          <w:color w:val="000000"/>
        </w:rPr>
      </w:pPr>
    </w:p>
    <w:p w14:paraId="5EB125A8">
      <w:pPr>
        <w:pStyle w:val="18"/>
        <w:rPr>
          <w:rFonts w:hint="eastAsia" w:hAnsi="宋体" w:cs="宋体"/>
          <w:color w:val="000000"/>
        </w:rPr>
      </w:pPr>
    </w:p>
    <w:p w14:paraId="32B162B5">
      <w:pPr>
        <w:pStyle w:val="40"/>
        <w:framePr w:wrap="around" w:vAnchor="text" w:hAnchor="page" w:x="4342" w:y="84"/>
        <w:rPr>
          <w:rFonts w:ascii="Times New Roman" w:hAnsi="Times New Roman"/>
        </w:rPr>
      </w:pPr>
      <w:r>
        <w:rPr>
          <w:rFonts w:ascii="Times New Roman" w:hAnsi="Times New Roman"/>
        </w:rPr>
        <w:t>_________________________________</w:t>
      </w:r>
    </w:p>
    <w:sectPr>
      <w:footerReference r:id="rId5"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459F4">
    <w:pPr>
      <w:pStyle w:val="5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FA964">
                          <w:pPr>
                            <w:pStyle w:val="51"/>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B3FA964">
                    <w:pPr>
                      <w:pStyle w:val="51"/>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7F87F">
    <w:pPr>
      <w:pStyle w:val="51"/>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DC834">
                          <w:pPr>
                            <w:pStyle w:val="51"/>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55DC834">
                    <w:pPr>
                      <w:pStyle w:val="51"/>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CECEA">
    <w:pPr>
      <w:pStyle w:val="24"/>
    </w:pPr>
    <w:r>
      <w:rPr>
        <w:rFonts w:hint="eastAsia"/>
      </w:rPr>
      <w:t xml:space="preserve">JC/T </w:t>
    </w:r>
    <w:r>
      <w:rPr>
        <w:rFonts w:hint="eastAsia" w:hAnsi="黑体"/>
      </w:rPr>
      <w:t>494—XXXX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00B5E"/>
    <w:multiLevelType w:val="multilevel"/>
    <w:tmpl w:val="A7A00B5E"/>
    <w:lvl w:ilvl="0" w:tentative="0">
      <w:start w:val="1"/>
      <w:numFmt w:val="lowerLetter"/>
      <w:pStyle w:val="4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6"/>
      <w:lvlText w:val="%2)"/>
      <w:lvlJc w:val="left"/>
      <w:pPr>
        <w:tabs>
          <w:tab w:val="left" w:pos="1260"/>
        </w:tabs>
        <w:ind w:left="1259" w:hanging="419"/>
      </w:pPr>
      <w:rPr>
        <w:rFonts w:hint="eastAsia"/>
      </w:rPr>
    </w:lvl>
    <w:lvl w:ilvl="2" w:tentative="0">
      <w:start w:val="1"/>
      <w:numFmt w:val="decimal"/>
      <w:pStyle w:val="52"/>
      <w:lvlText w:val="(%3)"/>
      <w:lvlJc w:val="left"/>
      <w:pPr>
        <w:tabs>
          <w:tab w:val="left" w:pos="0"/>
        </w:tabs>
        <w:ind w:left="1679" w:hanging="420"/>
      </w:pPr>
      <w:rPr>
        <w:rFonts w:hint="eastAsia" w:ascii="宋体" w:eastAsia="宋体"/>
        <w:b w:val="0"/>
        <w:i w:val="0"/>
        <w:sz w:val="21"/>
        <w:szCs w:val="21"/>
      </w:rPr>
    </w:lvl>
    <w:lvl w:ilvl="3" w:tentative="0">
      <w:start w:val="1"/>
      <w:numFmt w:val="decimal"/>
      <w:pStyle w:val="25"/>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3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1BFA93A"/>
    <w:multiLevelType w:val="singleLevel"/>
    <w:tmpl w:val="11BFA93A"/>
    <w:lvl w:ilvl="0" w:tentative="0">
      <w:start w:val="1"/>
      <w:numFmt w:val="lowerLetter"/>
      <w:suff w:val="space"/>
      <w:lvlText w:val="%1)"/>
      <w:lvlJc w:val="left"/>
      <w:rPr>
        <w:rFonts w:hint="default" w:ascii="Times New Roman" w:hAnsi="Times New Roman" w:cs="Times New Roman"/>
      </w:rPr>
    </w:lvl>
  </w:abstractNum>
  <w:abstractNum w:abstractNumId="3">
    <w:nsid w:val="13BF419B"/>
    <w:multiLevelType w:val="multilevel"/>
    <w:tmpl w:val="13BF419B"/>
    <w:lvl w:ilvl="0" w:tentative="0">
      <w:start w:val="1"/>
      <w:numFmt w:val="decimal"/>
      <w:pStyle w:val="4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1DBF583A"/>
    <w:multiLevelType w:val="multilevel"/>
    <w:tmpl w:val="1DBF583A"/>
    <w:lvl w:ilvl="0" w:tentative="0">
      <w:start w:val="1"/>
      <w:numFmt w:val="decimal"/>
      <w:pStyle w:val="3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657D3FBC"/>
    <w:multiLevelType w:val="multilevel"/>
    <w:tmpl w:val="657D3FBC"/>
    <w:lvl w:ilvl="0" w:tentative="0">
      <w:start w:val="1"/>
      <w:numFmt w:val="upperLetter"/>
      <w:pStyle w:val="4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5"/>
  </w:num>
  <w:num w:numId="2">
    <w:abstractNumId w:val="0"/>
  </w:num>
  <w:num w:numId="3">
    <w:abstractNumId w:val="4"/>
  </w:num>
  <w:num w:numId="4">
    <w:abstractNumId w:val="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1ODMzODFjOTA0YjU5YjQyODYwOGQ2OGM3NDcyMGUifQ=="/>
  </w:docVars>
  <w:rsids>
    <w:rsidRoot w:val="00663146"/>
    <w:rsid w:val="0001339C"/>
    <w:rsid w:val="000143E2"/>
    <w:rsid w:val="00030043"/>
    <w:rsid w:val="00050AB0"/>
    <w:rsid w:val="00054F83"/>
    <w:rsid w:val="00063B6D"/>
    <w:rsid w:val="00067C0D"/>
    <w:rsid w:val="00077BD0"/>
    <w:rsid w:val="000A228E"/>
    <w:rsid w:val="000A5F2E"/>
    <w:rsid w:val="000A603C"/>
    <w:rsid w:val="000C7261"/>
    <w:rsid w:val="000F7ADA"/>
    <w:rsid w:val="000F7D56"/>
    <w:rsid w:val="001051B9"/>
    <w:rsid w:val="00124C81"/>
    <w:rsid w:val="00133B69"/>
    <w:rsid w:val="00141734"/>
    <w:rsid w:val="00144278"/>
    <w:rsid w:val="00146562"/>
    <w:rsid w:val="00152FC5"/>
    <w:rsid w:val="00153452"/>
    <w:rsid w:val="0015551E"/>
    <w:rsid w:val="00163728"/>
    <w:rsid w:val="001725FF"/>
    <w:rsid w:val="00174AEE"/>
    <w:rsid w:val="00176924"/>
    <w:rsid w:val="00177110"/>
    <w:rsid w:val="001818E5"/>
    <w:rsid w:val="00194403"/>
    <w:rsid w:val="001A1818"/>
    <w:rsid w:val="001A245E"/>
    <w:rsid w:val="001A5056"/>
    <w:rsid w:val="001A64C4"/>
    <w:rsid w:val="001B692B"/>
    <w:rsid w:val="001C6617"/>
    <w:rsid w:val="001D6BEB"/>
    <w:rsid w:val="001E34FD"/>
    <w:rsid w:val="001F1697"/>
    <w:rsid w:val="001F59E0"/>
    <w:rsid w:val="00203BAE"/>
    <w:rsid w:val="0021554F"/>
    <w:rsid w:val="00224076"/>
    <w:rsid w:val="00281548"/>
    <w:rsid w:val="002839BB"/>
    <w:rsid w:val="002A47EB"/>
    <w:rsid w:val="002B4E69"/>
    <w:rsid w:val="002C34D8"/>
    <w:rsid w:val="002D36B2"/>
    <w:rsid w:val="002E06A1"/>
    <w:rsid w:val="002F491A"/>
    <w:rsid w:val="00314A6D"/>
    <w:rsid w:val="00320AA1"/>
    <w:rsid w:val="00346A97"/>
    <w:rsid w:val="00361C6B"/>
    <w:rsid w:val="003838D7"/>
    <w:rsid w:val="00394326"/>
    <w:rsid w:val="003B055E"/>
    <w:rsid w:val="003B5B06"/>
    <w:rsid w:val="003F254B"/>
    <w:rsid w:val="00404CE2"/>
    <w:rsid w:val="004156A8"/>
    <w:rsid w:val="004277F8"/>
    <w:rsid w:val="0044027D"/>
    <w:rsid w:val="00446541"/>
    <w:rsid w:val="00467DF8"/>
    <w:rsid w:val="004756DE"/>
    <w:rsid w:val="00484C27"/>
    <w:rsid w:val="004A4FA1"/>
    <w:rsid w:val="004A6474"/>
    <w:rsid w:val="004B5847"/>
    <w:rsid w:val="004C0A3C"/>
    <w:rsid w:val="004C3C64"/>
    <w:rsid w:val="004F6BF5"/>
    <w:rsid w:val="005058A3"/>
    <w:rsid w:val="00526150"/>
    <w:rsid w:val="00543161"/>
    <w:rsid w:val="00546D1C"/>
    <w:rsid w:val="005549C6"/>
    <w:rsid w:val="005644F8"/>
    <w:rsid w:val="00574CD1"/>
    <w:rsid w:val="0059682D"/>
    <w:rsid w:val="005C64EA"/>
    <w:rsid w:val="005E0674"/>
    <w:rsid w:val="005E3BE3"/>
    <w:rsid w:val="005F1D2B"/>
    <w:rsid w:val="005F3E27"/>
    <w:rsid w:val="0060550C"/>
    <w:rsid w:val="00607E2D"/>
    <w:rsid w:val="00632953"/>
    <w:rsid w:val="00640084"/>
    <w:rsid w:val="00641D08"/>
    <w:rsid w:val="00645AF2"/>
    <w:rsid w:val="00650010"/>
    <w:rsid w:val="00663146"/>
    <w:rsid w:val="00663BAE"/>
    <w:rsid w:val="00665CC8"/>
    <w:rsid w:val="0069732B"/>
    <w:rsid w:val="006C3DC3"/>
    <w:rsid w:val="006F701B"/>
    <w:rsid w:val="007014A2"/>
    <w:rsid w:val="007357F3"/>
    <w:rsid w:val="007438A3"/>
    <w:rsid w:val="0074595C"/>
    <w:rsid w:val="00761667"/>
    <w:rsid w:val="00777A17"/>
    <w:rsid w:val="00784918"/>
    <w:rsid w:val="007C62BF"/>
    <w:rsid w:val="007D11D1"/>
    <w:rsid w:val="007E0144"/>
    <w:rsid w:val="007E2B4E"/>
    <w:rsid w:val="007E4109"/>
    <w:rsid w:val="007E58DC"/>
    <w:rsid w:val="00802FB5"/>
    <w:rsid w:val="00810A1F"/>
    <w:rsid w:val="00813DA2"/>
    <w:rsid w:val="00815198"/>
    <w:rsid w:val="00820CFD"/>
    <w:rsid w:val="00821272"/>
    <w:rsid w:val="0085047F"/>
    <w:rsid w:val="00881350"/>
    <w:rsid w:val="00890A07"/>
    <w:rsid w:val="00896878"/>
    <w:rsid w:val="008A61DA"/>
    <w:rsid w:val="008B4C4B"/>
    <w:rsid w:val="008F0225"/>
    <w:rsid w:val="008F4754"/>
    <w:rsid w:val="00903A96"/>
    <w:rsid w:val="00904C4C"/>
    <w:rsid w:val="00912125"/>
    <w:rsid w:val="00923F53"/>
    <w:rsid w:val="00986096"/>
    <w:rsid w:val="0099098B"/>
    <w:rsid w:val="0099350A"/>
    <w:rsid w:val="00994ED1"/>
    <w:rsid w:val="009B091C"/>
    <w:rsid w:val="009B6EC8"/>
    <w:rsid w:val="009C0AC2"/>
    <w:rsid w:val="009D0178"/>
    <w:rsid w:val="009D5556"/>
    <w:rsid w:val="00A01336"/>
    <w:rsid w:val="00A04A92"/>
    <w:rsid w:val="00A10E16"/>
    <w:rsid w:val="00A21CF4"/>
    <w:rsid w:val="00A26BF7"/>
    <w:rsid w:val="00A42231"/>
    <w:rsid w:val="00A7257A"/>
    <w:rsid w:val="00A910FF"/>
    <w:rsid w:val="00AC2321"/>
    <w:rsid w:val="00AC2A2E"/>
    <w:rsid w:val="00AC4511"/>
    <w:rsid w:val="00AD0D60"/>
    <w:rsid w:val="00AE6ECC"/>
    <w:rsid w:val="00AF0816"/>
    <w:rsid w:val="00AF3F78"/>
    <w:rsid w:val="00AF50EC"/>
    <w:rsid w:val="00AF5179"/>
    <w:rsid w:val="00B0402F"/>
    <w:rsid w:val="00B157D6"/>
    <w:rsid w:val="00B264AF"/>
    <w:rsid w:val="00B3782C"/>
    <w:rsid w:val="00B6681A"/>
    <w:rsid w:val="00B86B63"/>
    <w:rsid w:val="00B925DA"/>
    <w:rsid w:val="00BB66FC"/>
    <w:rsid w:val="00BC3173"/>
    <w:rsid w:val="00BD32DD"/>
    <w:rsid w:val="00BE06BF"/>
    <w:rsid w:val="00BE58F4"/>
    <w:rsid w:val="00BF0D74"/>
    <w:rsid w:val="00C0425E"/>
    <w:rsid w:val="00C149F3"/>
    <w:rsid w:val="00C2193B"/>
    <w:rsid w:val="00C22637"/>
    <w:rsid w:val="00C26F91"/>
    <w:rsid w:val="00C27B30"/>
    <w:rsid w:val="00C364AE"/>
    <w:rsid w:val="00C50B26"/>
    <w:rsid w:val="00C63C77"/>
    <w:rsid w:val="00C669E9"/>
    <w:rsid w:val="00C67751"/>
    <w:rsid w:val="00C87D7D"/>
    <w:rsid w:val="00C91219"/>
    <w:rsid w:val="00C9751D"/>
    <w:rsid w:val="00CA27D0"/>
    <w:rsid w:val="00CA4CD2"/>
    <w:rsid w:val="00CA5474"/>
    <w:rsid w:val="00CB3730"/>
    <w:rsid w:val="00CB6473"/>
    <w:rsid w:val="00CE7002"/>
    <w:rsid w:val="00CF092B"/>
    <w:rsid w:val="00D012AB"/>
    <w:rsid w:val="00D0138B"/>
    <w:rsid w:val="00D22EF1"/>
    <w:rsid w:val="00D235DA"/>
    <w:rsid w:val="00D25DB4"/>
    <w:rsid w:val="00D2642A"/>
    <w:rsid w:val="00D26AF4"/>
    <w:rsid w:val="00D338C5"/>
    <w:rsid w:val="00D465A2"/>
    <w:rsid w:val="00D5097F"/>
    <w:rsid w:val="00D60DD6"/>
    <w:rsid w:val="00D83D0D"/>
    <w:rsid w:val="00D924B6"/>
    <w:rsid w:val="00D9414A"/>
    <w:rsid w:val="00D94BC2"/>
    <w:rsid w:val="00DA114E"/>
    <w:rsid w:val="00DA520E"/>
    <w:rsid w:val="00DB245B"/>
    <w:rsid w:val="00DB2879"/>
    <w:rsid w:val="00DC0F15"/>
    <w:rsid w:val="00DD4F14"/>
    <w:rsid w:val="00E139B5"/>
    <w:rsid w:val="00E14331"/>
    <w:rsid w:val="00E2150C"/>
    <w:rsid w:val="00E24EFE"/>
    <w:rsid w:val="00E274B7"/>
    <w:rsid w:val="00E51428"/>
    <w:rsid w:val="00E516A8"/>
    <w:rsid w:val="00E56B55"/>
    <w:rsid w:val="00E62A83"/>
    <w:rsid w:val="00E63425"/>
    <w:rsid w:val="00E637CB"/>
    <w:rsid w:val="00E63CF2"/>
    <w:rsid w:val="00E91DDB"/>
    <w:rsid w:val="00EB2002"/>
    <w:rsid w:val="00EB7428"/>
    <w:rsid w:val="00ED2080"/>
    <w:rsid w:val="00EE198A"/>
    <w:rsid w:val="00F120FA"/>
    <w:rsid w:val="00F15B36"/>
    <w:rsid w:val="00F15FBC"/>
    <w:rsid w:val="00F2010D"/>
    <w:rsid w:val="00F36E82"/>
    <w:rsid w:val="00F53133"/>
    <w:rsid w:val="00F64790"/>
    <w:rsid w:val="00F657DB"/>
    <w:rsid w:val="00F65C8F"/>
    <w:rsid w:val="00F732B1"/>
    <w:rsid w:val="00F77728"/>
    <w:rsid w:val="00FB524D"/>
    <w:rsid w:val="00FB6A11"/>
    <w:rsid w:val="00FC5EE6"/>
    <w:rsid w:val="00FC6F6E"/>
    <w:rsid w:val="00FD470D"/>
    <w:rsid w:val="01217B2B"/>
    <w:rsid w:val="014E0B48"/>
    <w:rsid w:val="0157077B"/>
    <w:rsid w:val="018D1303"/>
    <w:rsid w:val="01AE15BA"/>
    <w:rsid w:val="01E50D53"/>
    <w:rsid w:val="02021352"/>
    <w:rsid w:val="024E4B4B"/>
    <w:rsid w:val="0284231A"/>
    <w:rsid w:val="02AE09F9"/>
    <w:rsid w:val="032C4E8C"/>
    <w:rsid w:val="032F7B6F"/>
    <w:rsid w:val="03B42306"/>
    <w:rsid w:val="03B56428"/>
    <w:rsid w:val="03BE0A18"/>
    <w:rsid w:val="03C350C4"/>
    <w:rsid w:val="03D60CBB"/>
    <w:rsid w:val="03E2021C"/>
    <w:rsid w:val="040008BE"/>
    <w:rsid w:val="04433187"/>
    <w:rsid w:val="04675A50"/>
    <w:rsid w:val="048E3A2E"/>
    <w:rsid w:val="04C04561"/>
    <w:rsid w:val="051F4579"/>
    <w:rsid w:val="05772978"/>
    <w:rsid w:val="05AA4688"/>
    <w:rsid w:val="05AA746A"/>
    <w:rsid w:val="05CA098C"/>
    <w:rsid w:val="06021ED4"/>
    <w:rsid w:val="062F387C"/>
    <w:rsid w:val="065846CC"/>
    <w:rsid w:val="069A035E"/>
    <w:rsid w:val="06DE41D3"/>
    <w:rsid w:val="06F2019A"/>
    <w:rsid w:val="074A25DA"/>
    <w:rsid w:val="077B0190"/>
    <w:rsid w:val="0797664C"/>
    <w:rsid w:val="07E35621"/>
    <w:rsid w:val="080063E8"/>
    <w:rsid w:val="084E7B98"/>
    <w:rsid w:val="086504F8"/>
    <w:rsid w:val="087B5F6E"/>
    <w:rsid w:val="08A03BA4"/>
    <w:rsid w:val="08A70B11"/>
    <w:rsid w:val="08AA2A59"/>
    <w:rsid w:val="08B374B6"/>
    <w:rsid w:val="08CC67C9"/>
    <w:rsid w:val="09141EF3"/>
    <w:rsid w:val="092108C3"/>
    <w:rsid w:val="098B3F75"/>
    <w:rsid w:val="098C7C9C"/>
    <w:rsid w:val="09AB016A"/>
    <w:rsid w:val="09C831B8"/>
    <w:rsid w:val="09EF09C1"/>
    <w:rsid w:val="09F064E7"/>
    <w:rsid w:val="0A0501E5"/>
    <w:rsid w:val="0A2368BD"/>
    <w:rsid w:val="0A2C5771"/>
    <w:rsid w:val="0A4800D1"/>
    <w:rsid w:val="0A516F86"/>
    <w:rsid w:val="0A830604"/>
    <w:rsid w:val="0AA272E3"/>
    <w:rsid w:val="0B4935A0"/>
    <w:rsid w:val="0B7218AA"/>
    <w:rsid w:val="0B7F3FC7"/>
    <w:rsid w:val="0B861D40"/>
    <w:rsid w:val="0B875E0C"/>
    <w:rsid w:val="0B8D4C06"/>
    <w:rsid w:val="0BC96FF0"/>
    <w:rsid w:val="0BDA09A5"/>
    <w:rsid w:val="0C0F70F9"/>
    <w:rsid w:val="0C3B1C9C"/>
    <w:rsid w:val="0C694282"/>
    <w:rsid w:val="0C70518C"/>
    <w:rsid w:val="0C9B273A"/>
    <w:rsid w:val="0CB67574"/>
    <w:rsid w:val="0CD30126"/>
    <w:rsid w:val="0D0641AF"/>
    <w:rsid w:val="0D1F1E73"/>
    <w:rsid w:val="0D3B6AD9"/>
    <w:rsid w:val="0D5B1783"/>
    <w:rsid w:val="0D8F42A0"/>
    <w:rsid w:val="0DC7755F"/>
    <w:rsid w:val="0DF0237B"/>
    <w:rsid w:val="0DF504F8"/>
    <w:rsid w:val="0DFE1996"/>
    <w:rsid w:val="0E4532A6"/>
    <w:rsid w:val="0E78741E"/>
    <w:rsid w:val="0EBC278F"/>
    <w:rsid w:val="0EEE7499"/>
    <w:rsid w:val="0EF32D57"/>
    <w:rsid w:val="0F0767AD"/>
    <w:rsid w:val="0F0B03E9"/>
    <w:rsid w:val="0F4C2412"/>
    <w:rsid w:val="0F7D619E"/>
    <w:rsid w:val="0FC51D59"/>
    <w:rsid w:val="0FC95E8B"/>
    <w:rsid w:val="0FE149BC"/>
    <w:rsid w:val="0FED4EB8"/>
    <w:rsid w:val="103E6E1C"/>
    <w:rsid w:val="108D7E56"/>
    <w:rsid w:val="10C3255D"/>
    <w:rsid w:val="10D33AF2"/>
    <w:rsid w:val="110C3C07"/>
    <w:rsid w:val="11104A18"/>
    <w:rsid w:val="113B145B"/>
    <w:rsid w:val="1178129C"/>
    <w:rsid w:val="11A35E37"/>
    <w:rsid w:val="11C05F00"/>
    <w:rsid w:val="11DD5908"/>
    <w:rsid w:val="11FD4E9D"/>
    <w:rsid w:val="120E180D"/>
    <w:rsid w:val="122F6854"/>
    <w:rsid w:val="12485112"/>
    <w:rsid w:val="125F6FC1"/>
    <w:rsid w:val="12C201D3"/>
    <w:rsid w:val="12EC3B28"/>
    <w:rsid w:val="12F34FCC"/>
    <w:rsid w:val="13187776"/>
    <w:rsid w:val="133E4414"/>
    <w:rsid w:val="133F424A"/>
    <w:rsid w:val="136C7D4D"/>
    <w:rsid w:val="138E4DA7"/>
    <w:rsid w:val="13AA51CB"/>
    <w:rsid w:val="13CB7FE2"/>
    <w:rsid w:val="13E76BAD"/>
    <w:rsid w:val="13F55D0F"/>
    <w:rsid w:val="1402217A"/>
    <w:rsid w:val="14076907"/>
    <w:rsid w:val="140D79EF"/>
    <w:rsid w:val="141B0BDF"/>
    <w:rsid w:val="144A41A4"/>
    <w:rsid w:val="14B1001D"/>
    <w:rsid w:val="14B7657F"/>
    <w:rsid w:val="14BC1DE8"/>
    <w:rsid w:val="14E34F3A"/>
    <w:rsid w:val="14F605B5"/>
    <w:rsid w:val="15565D98"/>
    <w:rsid w:val="15604BCF"/>
    <w:rsid w:val="1586474C"/>
    <w:rsid w:val="15C5749F"/>
    <w:rsid w:val="16377978"/>
    <w:rsid w:val="16597FDA"/>
    <w:rsid w:val="16652DFA"/>
    <w:rsid w:val="16701879"/>
    <w:rsid w:val="16856946"/>
    <w:rsid w:val="16891DE9"/>
    <w:rsid w:val="16A91EF8"/>
    <w:rsid w:val="17150D9A"/>
    <w:rsid w:val="17656475"/>
    <w:rsid w:val="17933525"/>
    <w:rsid w:val="18226DEE"/>
    <w:rsid w:val="182D015F"/>
    <w:rsid w:val="185D2253"/>
    <w:rsid w:val="18664544"/>
    <w:rsid w:val="18893D8F"/>
    <w:rsid w:val="18A230A3"/>
    <w:rsid w:val="18B21E52"/>
    <w:rsid w:val="18C15C1F"/>
    <w:rsid w:val="18DA3B88"/>
    <w:rsid w:val="18E37F71"/>
    <w:rsid w:val="19277601"/>
    <w:rsid w:val="192D7B8F"/>
    <w:rsid w:val="195720DF"/>
    <w:rsid w:val="197E7326"/>
    <w:rsid w:val="19C534ED"/>
    <w:rsid w:val="19CE570C"/>
    <w:rsid w:val="19F13E9B"/>
    <w:rsid w:val="1A0C4C78"/>
    <w:rsid w:val="1A141D7E"/>
    <w:rsid w:val="1A4D68BD"/>
    <w:rsid w:val="1A4D6FF4"/>
    <w:rsid w:val="1A64042C"/>
    <w:rsid w:val="1A744BDA"/>
    <w:rsid w:val="1A763C25"/>
    <w:rsid w:val="1AB51BFB"/>
    <w:rsid w:val="1AC6529E"/>
    <w:rsid w:val="1AFE6CB6"/>
    <w:rsid w:val="1B2D40CD"/>
    <w:rsid w:val="1B3E7C1A"/>
    <w:rsid w:val="1B4B2131"/>
    <w:rsid w:val="1B58086D"/>
    <w:rsid w:val="1B7D4190"/>
    <w:rsid w:val="1BA41091"/>
    <w:rsid w:val="1BAC6712"/>
    <w:rsid w:val="1C050504"/>
    <w:rsid w:val="1C27223D"/>
    <w:rsid w:val="1C36422E"/>
    <w:rsid w:val="1C4E13F2"/>
    <w:rsid w:val="1C81330D"/>
    <w:rsid w:val="1C9E31F3"/>
    <w:rsid w:val="1D1207F7"/>
    <w:rsid w:val="1D4E37F9"/>
    <w:rsid w:val="1DE92197"/>
    <w:rsid w:val="1DF20628"/>
    <w:rsid w:val="1E0565AE"/>
    <w:rsid w:val="1E072C0D"/>
    <w:rsid w:val="1E2B5570"/>
    <w:rsid w:val="1E6A01BF"/>
    <w:rsid w:val="1E885939"/>
    <w:rsid w:val="1EA2204E"/>
    <w:rsid w:val="1EB15BB6"/>
    <w:rsid w:val="1ECC6AB2"/>
    <w:rsid w:val="1EFF7C37"/>
    <w:rsid w:val="1F204D21"/>
    <w:rsid w:val="1F464788"/>
    <w:rsid w:val="1FAE057F"/>
    <w:rsid w:val="1FDD6E90"/>
    <w:rsid w:val="1FFF4C1F"/>
    <w:rsid w:val="20176124"/>
    <w:rsid w:val="204A4C0C"/>
    <w:rsid w:val="2051227C"/>
    <w:rsid w:val="2116462E"/>
    <w:rsid w:val="212A1E87"/>
    <w:rsid w:val="217F0425"/>
    <w:rsid w:val="21817CF9"/>
    <w:rsid w:val="21824709"/>
    <w:rsid w:val="21D90B8A"/>
    <w:rsid w:val="22230DB0"/>
    <w:rsid w:val="22453316"/>
    <w:rsid w:val="226B1B8E"/>
    <w:rsid w:val="22C46979"/>
    <w:rsid w:val="22CA787B"/>
    <w:rsid w:val="22D93B65"/>
    <w:rsid w:val="231365A9"/>
    <w:rsid w:val="23515DF1"/>
    <w:rsid w:val="235201CF"/>
    <w:rsid w:val="235356C5"/>
    <w:rsid w:val="23EE3640"/>
    <w:rsid w:val="24A0493A"/>
    <w:rsid w:val="24AF7273"/>
    <w:rsid w:val="24C61A2F"/>
    <w:rsid w:val="25021151"/>
    <w:rsid w:val="257828A3"/>
    <w:rsid w:val="258B7398"/>
    <w:rsid w:val="258C3110"/>
    <w:rsid w:val="25E34945"/>
    <w:rsid w:val="25F413E1"/>
    <w:rsid w:val="26153106"/>
    <w:rsid w:val="262017AD"/>
    <w:rsid w:val="26386376"/>
    <w:rsid w:val="263C68E5"/>
    <w:rsid w:val="26665CED"/>
    <w:rsid w:val="2676100A"/>
    <w:rsid w:val="269F02CF"/>
    <w:rsid w:val="26D94133"/>
    <w:rsid w:val="26E52AD8"/>
    <w:rsid w:val="271B4E8A"/>
    <w:rsid w:val="27324845"/>
    <w:rsid w:val="276C7054"/>
    <w:rsid w:val="27724C1D"/>
    <w:rsid w:val="27897907"/>
    <w:rsid w:val="27C95D20"/>
    <w:rsid w:val="27ED066B"/>
    <w:rsid w:val="281477BA"/>
    <w:rsid w:val="28237D5C"/>
    <w:rsid w:val="28551EE0"/>
    <w:rsid w:val="28591FB0"/>
    <w:rsid w:val="28953E01"/>
    <w:rsid w:val="28BE5CD7"/>
    <w:rsid w:val="28F65471"/>
    <w:rsid w:val="297C2A05"/>
    <w:rsid w:val="297D16EE"/>
    <w:rsid w:val="29A90383"/>
    <w:rsid w:val="29E407C0"/>
    <w:rsid w:val="29E7300B"/>
    <w:rsid w:val="2A320D13"/>
    <w:rsid w:val="2A36061B"/>
    <w:rsid w:val="2A475858"/>
    <w:rsid w:val="2A585CB7"/>
    <w:rsid w:val="2A593CBA"/>
    <w:rsid w:val="2A61553A"/>
    <w:rsid w:val="2A7A3593"/>
    <w:rsid w:val="2A9E752D"/>
    <w:rsid w:val="2B0A3F4C"/>
    <w:rsid w:val="2B12230A"/>
    <w:rsid w:val="2B151EAA"/>
    <w:rsid w:val="2B587F91"/>
    <w:rsid w:val="2B6A4679"/>
    <w:rsid w:val="2BA347C5"/>
    <w:rsid w:val="2BC03067"/>
    <w:rsid w:val="2BD10B3A"/>
    <w:rsid w:val="2C043B1E"/>
    <w:rsid w:val="2C530FA9"/>
    <w:rsid w:val="2C843AD1"/>
    <w:rsid w:val="2CAA4940"/>
    <w:rsid w:val="2CAE4BF5"/>
    <w:rsid w:val="2CD341B9"/>
    <w:rsid w:val="2CE90E48"/>
    <w:rsid w:val="2D1B54A6"/>
    <w:rsid w:val="2D3E1194"/>
    <w:rsid w:val="2D636E4D"/>
    <w:rsid w:val="2D7D50EB"/>
    <w:rsid w:val="2DE3765F"/>
    <w:rsid w:val="2DFB46C3"/>
    <w:rsid w:val="2DFF6B75"/>
    <w:rsid w:val="2E04418C"/>
    <w:rsid w:val="2E662BC4"/>
    <w:rsid w:val="2E6E3CFB"/>
    <w:rsid w:val="2EF52229"/>
    <w:rsid w:val="2EF7440A"/>
    <w:rsid w:val="2F1E5509"/>
    <w:rsid w:val="2F5948EA"/>
    <w:rsid w:val="2F6D5D61"/>
    <w:rsid w:val="2FB475A5"/>
    <w:rsid w:val="2FBB2F70"/>
    <w:rsid w:val="2FCA5D1D"/>
    <w:rsid w:val="2FD47B8E"/>
    <w:rsid w:val="300C7328"/>
    <w:rsid w:val="30186A3C"/>
    <w:rsid w:val="301E44B8"/>
    <w:rsid w:val="306F35BE"/>
    <w:rsid w:val="307922B1"/>
    <w:rsid w:val="30CA0EF3"/>
    <w:rsid w:val="30DC77C4"/>
    <w:rsid w:val="30E450F8"/>
    <w:rsid w:val="30EE14B9"/>
    <w:rsid w:val="30F01C33"/>
    <w:rsid w:val="310D77FB"/>
    <w:rsid w:val="310F387F"/>
    <w:rsid w:val="312863E3"/>
    <w:rsid w:val="31360543"/>
    <w:rsid w:val="31432AD1"/>
    <w:rsid w:val="31682C84"/>
    <w:rsid w:val="31857392"/>
    <w:rsid w:val="31A34CE2"/>
    <w:rsid w:val="31AB491E"/>
    <w:rsid w:val="31BE0AF5"/>
    <w:rsid w:val="31C034DB"/>
    <w:rsid w:val="31CF2D03"/>
    <w:rsid w:val="31D954EA"/>
    <w:rsid w:val="31F167D5"/>
    <w:rsid w:val="3206424D"/>
    <w:rsid w:val="32344D3E"/>
    <w:rsid w:val="324059AE"/>
    <w:rsid w:val="326E243E"/>
    <w:rsid w:val="327C40FA"/>
    <w:rsid w:val="32A75470"/>
    <w:rsid w:val="32B40914"/>
    <w:rsid w:val="32B555C0"/>
    <w:rsid w:val="32CE0667"/>
    <w:rsid w:val="32F1790A"/>
    <w:rsid w:val="32FF13C6"/>
    <w:rsid w:val="333332A5"/>
    <w:rsid w:val="33537421"/>
    <w:rsid w:val="33A239F4"/>
    <w:rsid w:val="33A43682"/>
    <w:rsid w:val="33AA1331"/>
    <w:rsid w:val="33CE2400"/>
    <w:rsid w:val="33E63A39"/>
    <w:rsid w:val="33EB145B"/>
    <w:rsid w:val="340A7A25"/>
    <w:rsid w:val="34637732"/>
    <w:rsid w:val="347B794C"/>
    <w:rsid w:val="347D07F4"/>
    <w:rsid w:val="34D4375F"/>
    <w:rsid w:val="34E15227"/>
    <w:rsid w:val="352549E8"/>
    <w:rsid w:val="355B5A71"/>
    <w:rsid w:val="3569521C"/>
    <w:rsid w:val="357210F6"/>
    <w:rsid w:val="359009FB"/>
    <w:rsid w:val="35BE7316"/>
    <w:rsid w:val="35C12962"/>
    <w:rsid w:val="35C506A4"/>
    <w:rsid w:val="35E548A3"/>
    <w:rsid w:val="365E113A"/>
    <w:rsid w:val="366559E4"/>
    <w:rsid w:val="366F23BE"/>
    <w:rsid w:val="368C042F"/>
    <w:rsid w:val="369D1AED"/>
    <w:rsid w:val="37022905"/>
    <w:rsid w:val="372E4027"/>
    <w:rsid w:val="375A0F20"/>
    <w:rsid w:val="376310F1"/>
    <w:rsid w:val="38552C5D"/>
    <w:rsid w:val="38FB43DD"/>
    <w:rsid w:val="38FC6C63"/>
    <w:rsid w:val="39227305"/>
    <w:rsid w:val="393E01A9"/>
    <w:rsid w:val="3962744C"/>
    <w:rsid w:val="39730E92"/>
    <w:rsid w:val="3982065B"/>
    <w:rsid w:val="39C742BF"/>
    <w:rsid w:val="3A255E06"/>
    <w:rsid w:val="3A343D48"/>
    <w:rsid w:val="3A6E28F0"/>
    <w:rsid w:val="3A7C154E"/>
    <w:rsid w:val="3A9A3E56"/>
    <w:rsid w:val="3AD5074D"/>
    <w:rsid w:val="3B0532F1"/>
    <w:rsid w:val="3B0752BB"/>
    <w:rsid w:val="3B533B15"/>
    <w:rsid w:val="3B6460F2"/>
    <w:rsid w:val="3B6F7901"/>
    <w:rsid w:val="3B8E6AFD"/>
    <w:rsid w:val="3B944DD9"/>
    <w:rsid w:val="3C2879D6"/>
    <w:rsid w:val="3C2E587A"/>
    <w:rsid w:val="3CA968AD"/>
    <w:rsid w:val="3CBB50F2"/>
    <w:rsid w:val="3D184472"/>
    <w:rsid w:val="3D436353"/>
    <w:rsid w:val="3D515EC7"/>
    <w:rsid w:val="3D6F0EF6"/>
    <w:rsid w:val="3D7A3638"/>
    <w:rsid w:val="3D932E36"/>
    <w:rsid w:val="3DC30FE8"/>
    <w:rsid w:val="3DF02037"/>
    <w:rsid w:val="3E065633"/>
    <w:rsid w:val="3E1B1DCA"/>
    <w:rsid w:val="3E2930DE"/>
    <w:rsid w:val="3E504B0F"/>
    <w:rsid w:val="3E6F5651"/>
    <w:rsid w:val="3E88700E"/>
    <w:rsid w:val="3EB2553E"/>
    <w:rsid w:val="3EC12500"/>
    <w:rsid w:val="3EED6576"/>
    <w:rsid w:val="3F0C10F2"/>
    <w:rsid w:val="3F4B235E"/>
    <w:rsid w:val="3F6A1385"/>
    <w:rsid w:val="3F7614BA"/>
    <w:rsid w:val="3F981921"/>
    <w:rsid w:val="3FBD23EC"/>
    <w:rsid w:val="3FF04D0C"/>
    <w:rsid w:val="404A13BE"/>
    <w:rsid w:val="405107F6"/>
    <w:rsid w:val="40681D28"/>
    <w:rsid w:val="40973590"/>
    <w:rsid w:val="40975077"/>
    <w:rsid w:val="409E7168"/>
    <w:rsid w:val="41032081"/>
    <w:rsid w:val="412546ED"/>
    <w:rsid w:val="41326C5B"/>
    <w:rsid w:val="4172336D"/>
    <w:rsid w:val="41784F2C"/>
    <w:rsid w:val="41792AC4"/>
    <w:rsid w:val="41950D3A"/>
    <w:rsid w:val="419B5F12"/>
    <w:rsid w:val="41B96BE3"/>
    <w:rsid w:val="41DA2A3C"/>
    <w:rsid w:val="41E225DE"/>
    <w:rsid w:val="42576FAF"/>
    <w:rsid w:val="42606EBC"/>
    <w:rsid w:val="427F7E2D"/>
    <w:rsid w:val="431F6F1A"/>
    <w:rsid w:val="43454BD3"/>
    <w:rsid w:val="435D343B"/>
    <w:rsid w:val="437D3F4D"/>
    <w:rsid w:val="439D0355"/>
    <w:rsid w:val="43B40DA8"/>
    <w:rsid w:val="43BA19FE"/>
    <w:rsid w:val="43E443EC"/>
    <w:rsid w:val="445C4ABD"/>
    <w:rsid w:val="4464552C"/>
    <w:rsid w:val="449556E6"/>
    <w:rsid w:val="449E2B67"/>
    <w:rsid w:val="44DB7FE4"/>
    <w:rsid w:val="44E012F7"/>
    <w:rsid w:val="450176AE"/>
    <w:rsid w:val="45356EC9"/>
    <w:rsid w:val="45385785"/>
    <w:rsid w:val="45402EB7"/>
    <w:rsid w:val="45513D03"/>
    <w:rsid w:val="455D326B"/>
    <w:rsid w:val="461865CE"/>
    <w:rsid w:val="4676292B"/>
    <w:rsid w:val="46AE4B57"/>
    <w:rsid w:val="46B5557D"/>
    <w:rsid w:val="46C202E8"/>
    <w:rsid w:val="46DD3374"/>
    <w:rsid w:val="471F23BC"/>
    <w:rsid w:val="473F0892"/>
    <w:rsid w:val="476F0470"/>
    <w:rsid w:val="47721D0E"/>
    <w:rsid w:val="477F61D9"/>
    <w:rsid w:val="485D29BD"/>
    <w:rsid w:val="48AB197C"/>
    <w:rsid w:val="48B14AB8"/>
    <w:rsid w:val="48C034AF"/>
    <w:rsid w:val="48D72771"/>
    <w:rsid w:val="492B15A5"/>
    <w:rsid w:val="49C50417"/>
    <w:rsid w:val="49D1656A"/>
    <w:rsid w:val="49E402FB"/>
    <w:rsid w:val="49E8275C"/>
    <w:rsid w:val="4A192582"/>
    <w:rsid w:val="4A421E6C"/>
    <w:rsid w:val="4A547DF1"/>
    <w:rsid w:val="4A5C4828"/>
    <w:rsid w:val="4A7317C2"/>
    <w:rsid w:val="4A84195D"/>
    <w:rsid w:val="4A9621B8"/>
    <w:rsid w:val="4ADD7FFB"/>
    <w:rsid w:val="4B1278E9"/>
    <w:rsid w:val="4B185D24"/>
    <w:rsid w:val="4B3C347B"/>
    <w:rsid w:val="4B6F13A9"/>
    <w:rsid w:val="4B82525D"/>
    <w:rsid w:val="4BAD5A0B"/>
    <w:rsid w:val="4BE4407C"/>
    <w:rsid w:val="4CC748AA"/>
    <w:rsid w:val="4CC81BDD"/>
    <w:rsid w:val="4CCE5C39"/>
    <w:rsid w:val="4D0B4193"/>
    <w:rsid w:val="4D1549EC"/>
    <w:rsid w:val="4D403020"/>
    <w:rsid w:val="4D5A44E5"/>
    <w:rsid w:val="4DA548ED"/>
    <w:rsid w:val="4DA846DC"/>
    <w:rsid w:val="4DD70B1D"/>
    <w:rsid w:val="4DF01BDF"/>
    <w:rsid w:val="4DFE254E"/>
    <w:rsid w:val="4E2E3FCE"/>
    <w:rsid w:val="4E540379"/>
    <w:rsid w:val="4E6D55CA"/>
    <w:rsid w:val="4EC70063"/>
    <w:rsid w:val="4ED77988"/>
    <w:rsid w:val="4EED1BAD"/>
    <w:rsid w:val="4EEE25C2"/>
    <w:rsid w:val="4F0911AA"/>
    <w:rsid w:val="4F2F6BD1"/>
    <w:rsid w:val="4F443053"/>
    <w:rsid w:val="4F7C6716"/>
    <w:rsid w:val="4FE8133B"/>
    <w:rsid w:val="4FF609C8"/>
    <w:rsid w:val="503C110B"/>
    <w:rsid w:val="507E467D"/>
    <w:rsid w:val="50903205"/>
    <w:rsid w:val="5090457C"/>
    <w:rsid w:val="5099655E"/>
    <w:rsid w:val="50A307F2"/>
    <w:rsid w:val="50D0777E"/>
    <w:rsid w:val="50F9524E"/>
    <w:rsid w:val="517A013D"/>
    <w:rsid w:val="51924977"/>
    <w:rsid w:val="51C70692"/>
    <w:rsid w:val="51CC15DC"/>
    <w:rsid w:val="51EE0B2B"/>
    <w:rsid w:val="522E2CD6"/>
    <w:rsid w:val="52397FF8"/>
    <w:rsid w:val="523C3645"/>
    <w:rsid w:val="52BE1CE6"/>
    <w:rsid w:val="52D27151"/>
    <w:rsid w:val="52DB10B0"/>
    <w:rsid w:val="52F67F66"/>
    <w:rsid w:val="53400F13"/>
    <w:rsid w:val="53550C13"/>
    <w:rsid w:val="537A3DBD"/>
    <w:rsid w:val="53BE28FB"/>
    <w:rsid w:val="543D4A65"/>
    <w:rsid w:val="54433A9C"/>
    <w:rsid w:val="54802CFF"/>
    <w:rsid w:val="55102B67"/>
    <w:rsid w:val="552D7B39"/>
    <w:rsid w:val="55546EF7"/>
    <w:rsid w:val="558A6D4D"/>
    <w:rsid w:val="55C0129E"/>
    <w:rsid w:val="55CC4CE0"/>
    <w:rsid w:val="56A143BE"/>
    <w:rsid w:val="56C6327F"/>
    <w:rsid w:val="57170018"/>
    <w:rsid w:val="573A49B9"/>
    <w:rsid w:val="5749487F"/>
    <w:rsid w:val="5757542F"/>
    <w:rsid w:val="57CF072D"/>
    <w:rsid w:val="580B5F93"/>
    <w:rsid w:val="581125D0"/>
    <w:rsid w:val="5822508B"/>
    <w:rsid w:val="584C064E"/>
    <w:rsid w:val="58534C76"/>
    <w:rsid w:val="587D0122"/>
    <w:rsid w:val="592117E6"/>
    <w:rsid w:val="59252F75"/>
    <w:rsid w:val="592F7A5F"/>
    <w:rsid w:val="59554FEC"/>
    <w:rsid w:val="596E391A"/>
    <w:rsid w:val="59A350F5"/>
    <w:rsid w:val="59E56370"/>
    <w:rsid w:val="59F27234"/>
    <w:rsid w:val="5A0D748F"/>
    <w:rsid w:val="5A117165"/>
    <w:rsid w:val="5A1C6E9F"/>
    <w:rsid w:val="5A6A0655"/>
    <w:rsid w:val="5A76249E"/>
    <w:rsid w:val="5A855897"/>
    <w:rsid w:val="5A8C0EE1"/>
    <w:rsid w:val="5AC153A5"/>
    <w:rsid w:val="5AC7008A"/>
    <w:rsid w:val="5AE14981"/>
    <w:rsid w:val="5B1038C0"/>
    <w:rsid w:val="5B2918B5"/>
    <w:rsid w:val="5B3308B6"/>
    <w:rsid w:val="5B3475AF"/>
    <w:rsid w:val="5B763D98"/>
    <w:rsid w:val="5B8147BE"/>
    <w:rsid w:val="5B841BB9"/>
    <w:rsid w:val="5B9E2C7A"/>
    <w:rsid w:val="5BB01703"/>
    <w:rsid w:val="5BB5644F"/>
    <w:rsid w:val="5C217C66"/>
    <w:rsid w:val="5CC901CB"/>
    <w:rsid w:val="5CDC6150"/>
    <w:rsid w:val="5D156F6C"/>
    <w:rsid w:val="5D1F603D"/>
    <w:rsid w:val="5D2378DB"/>
    <w:rsid w:val="5D2F59E9"/>
    <w:rsid w:val="5D331AE8"/>
    <w:rsid w:val="5D3823EF"/>
    <w:rsid w:val="5D3E6397"/>
    <w:rsid w:val="5D6C6FFE"/>
    <w:rsid w:val="5D9B663A"/>
    <w:rsid w:val="5DC15C82"/>
    <w:rsid w:val="5DCB6BA2"/>
    <w:rsid w:val="5DE30E18"/>
    <w:rsid w:val="5DF86B83"/>
    <w:rsid w:val="5DFE194D"/>
    <w:rsid w:val="5E25629E"/>
    <w:rsid w:val="5E3E24F3"/>
    <w:rsid w:val="5E65287A"/>
    <w:rsid w:val="5EB10F16"/>
    <w:rsid w:val="5F366415"/>
    <w:rsid w:val="5F482DA2"/>
    <w:rsid w:val="5F634190"/>
    <w:rsid w:val="5F8E5AAE"/>
    <w:rsid w:val="5FB106BD"/>
    <w:rsid w:val="5FE33352"/>
    <w:rsid w:val="5FF9248A"/>
    <w:rsid w:val="601209B3"/>
    <w:rsid w:val="60297336"/>
    <w:rsid w:val="603578A4"/>
    <w:rsid w:val="60430294"/>
    <w:rsid w:val="60581BDF"/>
    <w:rsid w:val="609435BE"/>
    <w:rsid w:val="60A21CCA"/>
    <w:rsid w:val="610417D1"/>
    <w:rsid w:val="610A204B"/>
    <w:rsid w:val="611071FE"/>
    <w:rsid w:val="614A1FE2"/>
    <w:rsid w:val="615E35D8"/>
    <w:rsid w:val="617D1584"/>
    <w:rsid w:val="61A62C9C"/>
    <w:rsid w:val="61ED3D9F"/>
    <w:rsid w:val="6200468F"/>
    <w:rsid w:val="629D2379"/>
    <w:rsid w:val="62A3326C"/>
    <w:rsid w:val="62A746FB"/>
    <w:rsid w:val="62B92A90"/>
    <w:rsid w:val="62C9749B"/>
    <w:rsid w:val="63163A3E"/>
    <w:rsid w:val="63441A5D"/>
    <w:rsid w:val="63544514"/>
    <w:rsid w:val="636736F3"/>
    <w:rsid w:val="63C67212"/>
    <w:rsid w:val="63F80E1E"/>
    <w:rsid w:val="63FF1743"/>
    <w:rsid w:val="64462101"/>
    <w:rsid w:val="64521623"/>
    <w:rsid w:val="6457430E"/>
    <w:rsid w:val="64A05CB5"/>
    <w:rsid w:val="64B82FFF"/>
    <w:rsid w:val="64EE3424"/>
    <w:rsid w:val="64F6723F"/>
    <w:rsid w:val="6502427A"/>
    <w:rsid w:val="651F422E"/>
    <w:rsid w:val="65230A03"/>
    <w:rsid w:val="655A5E64"/>
    <w:rsid w:val="65705687"/>
    <w:rsid w:val="65752C9E"/>
    <w:rsid w:val="65BA6610"/>
    <w:rsid w:val="65BC08CD"/>
    <w:rsid w:val="65C43C25"/>
    <w:rsid w:val="65D26342"/>
    <w:rsid w:val="65FE7137"/>
    <w:rsid w:val="660D1128"/>
    <w:rsid w:val="664F7993"/>
    <w:rsid w:val="665D113B"/>
    <w:rsid w:val="66754F1F"/>
    <w:rsid w:val="66903534"/>
    <w:rsid w:val="66927307"/>
    <w:rsid w:val="67254250"/>
    <w:rsid w:val="67262027"/>
    <w:rsid w:val="672E0F80"/>
    <w:rsid w:val="675C2354"/>
    <w:rsid w:val="67894337"/>
    <w:rsid w:val="67A61834"/>
    <w:rsid w:val="67B04461"/>
    <w:rsid w:val="68406D67"/>
    <w:rsid w:val="6896419C"/>
    <w:rsid w:val="68AA5B4D"/>
    <w:rsid w:val="68BB130F"/>
    <w:rsid w:val="68C27158"/>
    <w:rsid w:val="68EA538A"/>
    <w:rsid w:val="69470DF5"/>
    <w:rsid w:val="69943F9A"/>
    <w:rsid w:val="69961CFA"/>
    <w:rsid w:val="69E46644"/>
    <w:rsid w:val="6A857BCC"/>
    <w:rsid w:val="6A94006A"/>
    <w:rsid w:val="6ABA55F7"/>
    <w:rsid w:val="6ACC2C9C"/>
    <w:rsid w:val="6AD32F6D"/>
    <w:rsid w:val="6AE61F48"/>
    <w:rsid w:val="6B031DE7"/>
    <w:rsid w:val="6B244066"/>
    <w:rsid w:val="6B282560"/>
    <w:rsid w:val="6B431148"/>
    <w:rsid w:val="6B7F22BA"/>
    <w:rsid w:val="6BF61418"/>
    <w:rsid w:val="6C2670A4"/>
    <w:rsid w:val="6C2B611A"/>
    <w:rsid w:val="6C3E17A5"/>
    <w:rsid w:val="6C5E0930"/>
    <w:rsid w:val="6C7D0F51"/>
    <w:rsid w:val="6CD56718"/>
    <w:rsid w:val="6CEB5F3B"/>
    <w:rsid w:val="6CF51EEB"/>
    <w:rsid w:val="6D1B05CF"/>
    <w:rsid w:val="6D202CE1"/>
    <w:rsid w:val="6D4713C4"/>
    <w:rsid w:val="6D5E495F"/>
    <w:rsid w:val="6D9D7236"/>
    <w:rsid w:val="6DBE3A92"/>
    <w:rsid w:val="6DC02F24"/>
    <w:rsid w:val="6DE63302"/>
    <w:rsid w:val="6E1B015A"/>
    <w:rsid w:val="6E1D0376"/>
    <w:rsid w:val="6E2C680B"/>
    <w:rsid w:val="6E9D5013"/>
    <w:rsid w:val="6EA42846"/>
    <w:rsid w:val="6EBF142E"/>
    <w:rsid w:val="6ECF78C3"/>
    <w:rsid w:val="6ED544CF"/>
    <w:rsid w:val="6F306F4F"/>
    <w:rsid w:val="6F410095"/>
    <w:rsid w:val="6F505649"/>
    <w:rsid w:val="6F5D2DB6"/>
    <w:rsid w:val="6F8859AD"/>
    <w:rsid w:val="6F9111F5"/>
    <w:rsid w:val="6FC45463"/>
    <w:rsid w:val="6FF659F9"/>
    <w:rsid w:val="703210FB"/>
    <w:rsid w:val="70497F8D"/>
    <w:rsid w:val="705A140E"/>
    <w:rsid w:val="70B00AAA"/>
    <w:rsid w:val="71007D30"/>
    <w:rsid w:val="711F45AF"/>
    <w:rsid w:val="71267542"/>
    <w:rsid w:val="717B788E"/>
    <w:rsid w:val="719B16BB"/>
    <w:rsid w:val="71B065D0"/>
    <w:rsid w:val="71B45234"/>
    <w:rsid w:val="71CD20B4"/>
    <w:rsid w:val="71EC539F"/>
    <w:rsid w:val="72142791"/>
    <w:rsid w:val="72155BD5"/>
    <w:rsid w:val="72477770"/>
    <w:rsid w:val="725355A2"/>
    <w:rsid w:val="726E73F3"/>
    <w:rsid w:val="72750781"/>
    <w:rsid w:val="73131D48"/>
    <w:rsid w:val="735C60EC"/>
    <w:rsid w:val="73760918"/>
    <w:rsid w:val="73BE3D1E"/>
    <w:rsid w:val="73C3376E"/>
    <w:rsid w:val="73C45CA8"/>
    <w:rsid w:val="73EA2313"/>
    <w:rsid w:val="73F9496E"/>
    <w:rsid w:val="73F95484"/>
    <w:rsid w:val="746A3F35"/>
    <w:rsid w:val="7491561A"/>
    <w:rsid w:val="74943886"/>
    <w:rsid w:val="74A00D47"/>
    <w:rsid w:val="74C432FA"/>
    <w:rsid w:val="74FF6D12"/>
    <w:rsid w:val="75063912"/>
    <w:rsid w:val="751E2B9B"/>
    <w:rsid w:val="753164B5"/>
    <w:rsid w:val="758B206A"/>
    <w:rsid w:val="759C4277"/>
    <w:rsid w:val="75BA5FA1"/>
    <w:rsid w:val="75CA3174"/>
    <w:rsid w:val="762322D7"/>
    <w:rsid w:val="76267B2C"/>
    <w:rsid w:val="763751CC"/>
    <w:rsid w:val="76523C39"/>
    <w:rsid w:val="765B674D"/>
    <w:rsid w:val="768C1475"/>
    <w:rsid w:val="76981951"/>
    <w:rsid w:val="76A1647B"/>
    <w:rsid w:val="76A52FA5"/>
    <w:rsid w:val="76B63116"/>
    <w:rsid w:val="76FB4FCD"/>
    <w:rsid w:val="7704226E"/>
    <w:rsid w:val="774D3A7A"/>
    <w:rsid w:val="776C6916"/>
    <w:rsid w:val="77755671"/>
    <w:rsid w:val="77C64979"/>
    <w:rsid w:val="77D82F7B"/>
    <w:rsid w:val="77E048EF"/>
    <w:rsid w:val="77E5578D"/>
    <w:rsid w:val="77F61B89"/>
    <w:rsid w:val="78423980"/>
    <w:rsid w:val="7856063B"/>
    <w:rsid w:val="789667E7"/>
    <w:rsid w:val="78A82F32"/>
    <w:rsid w:val="78E84C32"/>
    <w:rsid w:val="78E8667F"/>
    <w:rsid w:val="79170432"/>
    <w:rsid w:val="79227BA4"/>
    <w:rsid w:val="79270F41"/>
    <w:rsid w:val="79312D7A"/>
    <w:rsid w:val="795440B4"/>
    <w:rsid w:val="795F384C"/>
    <w:rsid w:val="7968560C"/>
    <w:rsid w:val="797C2B5F"/>
    <w:rsid w:val="79894B12"/>
    <w:rsid w:val="79C913B2"/>
    <w:rsid w:val="79D21DA8"/>
    <w:rsid w:val="7A052D7F"/>
    <w:rsid w:val="7A563C79"/>
    <w:rsid w:val="7A6A48B7"/>
    <w:rsid w:val="7A837AAD"/>
    <w:rsid w:val="7A9072AB"/>
    <w:rsid w:val="7ACD0278"/>
    <w:rsid w:val="7AE2097E"/>
    <w:rsid w:val="7B3311D9"/>
    <w:rsid w:val="7B3841EF"/>
    <w:rsid w:val="7B5F1FCE"/>
    <w:rsid w:val="7B813697"/>
    <w:rsid w:val="7BB53BBC"/>
    <w:rsid w:val="7BC04950"/>
    <w:rsid w:val="7BC260B9"/>
    <w:rsid w:val="7BE6125F"/>
    <w:rsid w:val="7C0A3603"/>
    <w:rsid w:val="7C26584F"/>
    <w:rsid w:val="7C525FA5"/>
    <w:rsid w:val="7CF14CE5"/>
    <w:rsid w:val="7CF50338"/>
    <w:rsid w:val="7D287A2E"/>
    <w:rsid w:val="7D384A55"/>
    <w:rsid w:val="7D5E1F6E"/>
    <w:rsid w:val="7D893333"/>
    <w:rsid w:val="7DB22F28"/>
    <w:rsid w:val="7DD153E4"/>
    <w:rsid w:val="7E0E1A8A"/>
    <w:rsid w:val="7E3931C4"/>
    <w:rsid w:val="7E977CD1"/>
    <w:rsid w:val="7EC9775F"/>
    <w:rsid w:val="7EF0118F"/>
    <w:rsid w:val="7F28038F"/>
    <w:rsid w:val="7F2F37B3"/>
    <w:rsid w:val="7F343772"/>
    <w:rsid w:val="7F553D0D"/>
    <w:rsid w:val="7FA3676E"/>
    <w:rsid w:val="7FA73EAD"/>
    <w:rsid w:val="7FA91A6A"/>
    <w:rsid w:val="7FAC155A"/>
    <w:rsid w:val="7FC95C68"/>
    <w:rsid w:val="7FDD7966"/>
    <w:rsid w:val="7FE755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52"/>
      <w:szCs w:val="52"/>
      <w:lang w:eastAsia="en-US"/>
    </w:rPr>
  </w:style>
  <w:style w:type="paragraph" w:styleId="4">
    <w:name w:val="toc 3"/>
    <w:basedOn w:val="1"/>
    <w:next w:val="1"/>
    <w:qFormat/>
    <w:uiPriority w:val="39"/>
    <w:pPr>
      <w:tabs>
        <w:tab w:val="right" w:leader="dot" w:pos="9241"/>
      </w:tabs>
      <w:ind w:firstLine="102" w:firstLineChars="100"/>
      <w:jc w:val="left"/>
    </w:pPr>
    <w:rPr>
      <w:rFonts w:ascii="宋体" w:hAnsi="Calibri" w:eastAsia="宋体" w:cs="Times New Roman"/>
      <w:szCs w:val="21"/>
    </w:rPr>
  </w:style>
  <w:style w:type="paragraph" w:styleId="5">
    <w:name w:val="Plain Text"/>
    <w:basedOn w:val="1"/>
    <w:qFormat/>
    <w:uiPriority w:val="0"/>
    <w:rPr>
      <w:rFonts w:ascii="宋体" w:hAnsi="Courier New" w:cs="Courier New"/>
      <w:szCs w:val="21"/>
    </w:rPr>
  </w:style>
  <w:style w:type="paragraph" w:styleId="6">
    <w:name w:val="Balloon Text"/>
    <w:basedOn w:val="1"/>
    <w:link w:val="56"/>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right" w:leader="dot" w:pos="9241"/>
      </w:tabs>
      <w:spacing w:beforeLines="25" w:afterLines="25"/>
      <w:jc w:val="left"/>
    </w:pPr>
    <w:rPr>
      <w:rFonts w:ascii="宋体" w:hAnsi="Calibri" w:eastAsia="宋体" w:cs="Times New Roman"/>
      <w:szCs w:val="21"/>
    </w:rPr>
  </w:style>
  <w:style w:type="paragraph" w:styleId="10">
    <w:name w:val="toc 2"/>
    <w:basedOn w:val="1"/>
    <w:next w:val="1"/>
    <w:semiHidden/>
    <w:unhideWhenUsed/>
    <w:qFormat/>
    <w:uiPriority w:val="39"/>
    <w:pPr>
      <w:ind w:left="420" w:left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semiHidden/>
    <w:unhideWhenUsed/>
    <w:qFormat/>
    <w:uiPriority w:val="99"/>
    <w:rPr>
      <w:color w:val="014CCC"/>
      <w:u w:val="none"/>
    </w:rPr>
  </w:style>
  <w:style w:type="character" w:styleId="15">
    <w:name w:val="Hyperlink"/>
    <w:basedOn w:val="13"/>
    <w:qFormat/>
    <w:uiPriority w:val="99"/>
    <w:rPr>
      <w:color w:val="0000FF"/>
      <w:spacing w:val="0"/>
      <w:w w:val="100"/>
      <w:szCs w:val="21"/>
      <w:u w:val="single"/>
      <w:lang w:val="en-US" w:eastAsia="zh-CN"/>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19">
    <w:name w:val="段 Char"/>
    <w:basedOn w:val="13"/>
    <w:link w:val="18"/>
    <w:qFormat/>
    <w:uiPriority w:val="0"/>
    <w:rPr>
      <w:rFonts w:ascii="宋体" w:hAnsi="Calibri" w:eastAsia="宋体" w:cs="Times New Roman"/>
      <w:kern w:val="0"/>
      <w:szCs w:val="20"/>
    </w:rPr>
  </w:style>
  <w:style w:type="character" w:customStyle="1" w:styleId="20">
    <w:name w:val="发布"/>
    <w:basedOn w:val="13"/>
    <w:qFormat/>
    <w:uiPriority w:val="0"/>
    <w:rPr>
      <w:rFonts w:ascii="黑体" w:eastAsia="黑体"/>
      <w:spacing w:val="85"/>
      <w:w w:val="100"/>
      <w:position w:val="3"/>
      <w:sz w:val="28"/>
      <w:szCs w:val="28"/>
    </w:rPr>
  </w:style>
  <w:style w:type="paragraph" w:customStyle="1" w:styleId="21">
    <w:name w:val="二级条标题"/>
    <w:basedOn w:val="22"/>
    <w:next w:val="18"/>
    <w:link w:val="58"/>
    <w:qFormat/>
    <w:uiPriority w:val="0"/>
    <w:pPr>
      <w:numPr>
        <w:ilvl w:val="2"/>
      </w:numPr>
      <w:spacing w:before="50" w:after="50"/>
      <w:outlineLvl w:val="3"/>
    </w:pPr>
  </w:style>
  <w:style w:type="paragraph" w:customStyle="1" w:styleId="22">
    <w:name w:val="一级条标题"/>
    <w:next w:val="18"/>
    <w:qFormat/>
    <w:uiPriority w:val="0"/>
    <w:pPr>
      <w:numPr>
        <w:ilvl w:val="1"/>
        <w:numId w:val="1"/>
      </w:numPr>
      <w:spacing w:beforeLines="50" w:afterLines="50"/>
      <w:outlineLvl w:val="2"/>
    </w:pPr>
    <w:rPr>
      <w:rFonts w:ascii="黑体" w:hAnsi="Calibri" w:eastAsia="黑体" w:cs="Times New Roman"/>
      <w:sz w:val="21"/>
      <w:szCs w:val="21"/>
      <w:lang w:val="en-US" w:eastAsia="zh-CN" w:bidi="ar-SA"/>
    </w:rPr>
  </w:style>
  <w:style w:type="paragraph" w:customStyle="1" w:styleId="23">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24">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25">
    <w:name w:val="附录二级条标题"/>
    <w:basedOn w:val="1"/>
    <w:next w:val="18"/>
    <w:qFormat/>
    <w:uiPriority w:val="0"/>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hAnsi="Calibri" w:eastAsia="黑体" w:cs="Times New Roman"/>
      <w:kern w:val="21"/>
      <w:szCs w:val="20"/>
    </w:rPr>
  </w:style>
  <w:style w:type="paragraph" w:customStyle="1" w:styleId="26">
    <w:name w:val="标准文件_附录一级条标题"/>
    <w:next w:val="27"/>
    <w:qFormat/>
    <w:uiPriority w:val="0"/>
    <w:pPr>
      <w:widowControl w:val="0"/>
      <w:numPr>
        <w:ilvl w:val="1"/>
        <w:numId w:val="2"/>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2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
    <w:name w:val="封面一致性程度标识"/>
    <w:basedOn w:val="29"/>
    <w:qFormat/>
    <w:uiPriority w:val="0"/>
    <w:pPr>
      <w:framePr w:wrap="around"/>
      <w:spacing w:before="440"/>
    </w:pPr>
    <w:rPr>
      <w:rFonts w:ascii="宋体" w:eastAsia="宋体"/>
    </w:rPr>
  </w:style>
  <w:style w:type="paragraph" w:customStyle="1" w:styleId="29">
    <w:name w:val="封面标准英文名称"/>
    <w:basedOn w:val="30"/>
    <w:qFormat/>
    <w:uiPriority w:val="0"/>
    <w:pPr>
      <w:framePr w:wrap="around"/>
      <w:spacing w:before="370" w:line="400" w:lineRule="exact"/>
    </w:pPr>
    <w:rPr>
      <w:rFonts w:ascii="Times New Roman"/>
      <w:sz w:val="28"/>
      <w:szCs w:val="28"/>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1">
    <w:name w:val="封面标准文稿编辑信息"/>
    <w:basedOn w:val="32"/>
    <w:qFormat/>
    <w:uiPriority w:val="0"/>
    <w:pPr>
      <w:framePr w:wrap="around"/>
      <w:spacing w:before="180" w:line="180" w:lineRule="exact"/>
    </w:pPr>
    <w:rPr>
      <w:sz w:val="21"/>
    </w:rPr>
  </w:style>
  <w:style w:type="paragraph" w:customStyle="1" w:styleId="32">
    <w:name w:val="封面标准文稿类别"/>
    <w:basedOn w:val="28"/>
    <w:qFormat/>
    <w:uiPriority w:val="0"/>
    <w:pPr>
      <w:framePr w:wrap="around"/>
      <w:spacing w:after="160" w:line="240" w:lineRule="auto"/>
    </w:pPr>
    <w:rPr>
      <w:sz w:val="24"/>
    </w:rPr>
  </w:style>
  <w:style w:type="paragraph" w:customStyle="1" w:styleId="33">
    <w:name w:val="附录表标号"/>
    <w:basedOn w:val="1"/>
    <w:next w:val="18"/>
    <w:qFormat/>
    <w:uiPriority w:val="0"/>
    <w:pPr>
      <w:numPr>
        <w:ilvl w:val="0"/>
        <w:numId w:val="3"/>
      </w:numPr>
      <w:spacing w:line="14" w:lineRule="exact"/>
      <w:jc w:val="center"/>
      <w:outlineLvl w:val="0"/>
    </w:pPr>
    <w:rPr>
      <w:rFonts w:ascii="Calibri" w:hAnsi="Calibri" w:eastAsia="宋体" w:cs="Times New Roman"/>
      <w:color w:val="FFFFFF"/>
      <w:szCs w:val="24"/>
    </w:rPr>
  </w:style>
  <w:style w:type="paragraph" w:customStyle="1" w:styleId="34">
    <w:name w:val="其他发布日期"/>
    <w:basedOn w:val="1"/>
    <w:qFormat/>
    <w:uiPriority w:val="0"/>
    <w:pPr>
      <w:framePr w:w="3997" w:h="471" w:hRule="exact" w:vSpace="181" w:wrap="around" w:vAnchor="page" w:hAnchor="page" w:x="1419" w:y="14097" w:anchorLock="1"/>
      <w:widowControl/>
      <w:jc w:val="left"/>
    </w:pPr>
    <w:rPr>
      <w:rFonts w:ascii="Calibri" w:hAnsi="Calibri" w:eastAsia="黑体" w:cs="Times New Roman"/>
      <w:kern w:val="0"/>
      <w:sz w:val="28"/>
      <w:szCs w:val="20"/>
    </w:rPr>
  </w:style>
  <w:style w:type="paragraph" w:customStyle="1" w:styleId="3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36">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hAnsi="Calibri" w:eastAsia="黑体" w:cs="Times New Roman"/>
      <w:kern w:val="0"/>
      <w:sz w:val="32"/>
      <w:szCs w:val="20"/>
    </w:rPr>
  </w:style>
  <w:style w:type="paragraph" w:customStyle="1" w:styleId="37">
    <w:name w:val="二级无"/>
    <w:basedOn w:val="21"/>
    <w:qFormat/>
    <w:uiPriority w:val="0"/>
    <w:pPr>
      <w:spacing w:beforeLines="0" w:afterLines="0"/>
    </w:pPr>
    <w:rPr>
      <w:rFonts w:ascii="宋体" w:eastAsia="宋体"/>
    </w:rPr>
  </w:style>
  <w:style w:type="paragraph" w:customStyle="1" w:styleId="38">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9">
    <w:name w:val="注×：（正文）"/>
    <w:qFormat/>
    <w:uiPriority w:val="0"/>
    <w:pPr>
      <w:numPr>
        <w:ilvl w:val="0"/>
        <w:numId w:val="4"/>
      </w:numPr>
      <w:jc w:val="both"/>
    </w:pPr>
    <w:rPr>
      <w:rFonts w:ascii="宋体" w:hAnsi="Calibri" w:eastAsia="宋体" w:cs="Times New Roman"/>
      <w:sz w:val="18"/>
      <w:szCs w:val="18"/>
      <w:lang w:val="en-US" w:eastAsia="zh-CN" w:bidi="ar-SA"/>
    </w:rPr>
  </w:style>
  <w:style w:type="paragraph" w:customStyle="1" w:styleId="40">
    <w:name w:val="终结线"/>
    <w:basedOn w:val="1"/>
    <w:qFormat/>
    <w:uiPriority w:val="0"/>
    <w:pPr>
      <w:framePr w:hSpace="181" w:vSpace="181" w:wrap="around" w:vAnchor="text" w:hAnchor="margin" w:xAlign="center" w:y="285"/>
    </w:pPr>
    <w:rPr>
      <w:rFonts w:ascii="Calibri" w:hAnsi="Calibri" w:eastAsia="宋体" w:cs="Times New Roman"/>
      <w:szCs w:val="24"/>
    </w:rPr>
  </w:style>
  <w:style w:type="paragraph" w:customStyle="1" w:styleId="41">
    <w:name w:val="正文表标题"/>
    <w:next w:val="18"/>
    <w:qFormat/>
    <w:uiPriority w:val="0"/>
    <w:pPr>
      <w:numPr>
        <w:ilvl w:val="0"/>
        <w:numId w:val="5"/>
      </w:numPr>
      <w:tabs>
        <w:tab w:val="left" w:pos="360"/>
      </w:tabs>
      <w:spacing w:beforeLines="50" w:afterLines="50"/>
      <w:jc w:val="center"/>
    </w:pPr>
    <w:rPr>
      <w:rFonts w:ascii="黑体" w:hAnsi="Calibri" w:eastAsia="黑体" w:cs="Times New Roman"/>
      <w:sz w:val="21"/>
      <w:lang w:val="en-US" w:eastAsia="zh-CN" w:bidi="ar-SA"/>
    </w:rPr>
  </w:style>
  <w:style w:type="paragraph" w:customStyle="1" w:styleId="42">
    <w:name w:val="附录图标号"/>
    <w:basedOn w:val="1"/>
    <w:qFormat/>
    <w:uiPriority w:val="0"/>
    <w:pPr>
      <w:keepNext/>
      <w:pageBreakBefore/>
      <w:widowControl/>
      <w:tabs>
        <w:tab w:val="left" w:pos="720"/>
      </w:tabs>
      <w:spacing w:line="14" w:lineRule="exact"/>
      <w:ind w:left="720" w:firstLine="363"/>
      <w:jc w:val="center"/>
      <w:outlineLvl w:val="0"/>
    </w:pPr>
    <w:rPr>
      <w:rFonts w:ascii="Calibri" w:hAnsi="Calibri" w:eastAsia="宋体" w:cs="Times New Roman"/>
      <w:color w:val="FFFFFF"/>
      <w:szCs w:val="24"/>
    </w:rPr>
  </w:style>
  <w:style w:type="paragraph" w:customStyle="1" w:styleId="43">
    <w:name w:val="字母编号列项（一级）"/>
    <w:qFormat/>
    <w:uiPriority w:val="0"/>
    <w:pPr>
      <w:numPr>
        <w:ilvl w:val="0"/>
        <w:numId w:val="6"/>
      </w:numPr>
      <w:tabs>
        <w:tab w:val="left" w:pos="840"/>
      </w:tabs>
      <w:jc w:val="both"/>
    </w:pPr>
    <w:rPr>
      <w:rFonts w:ascii="宋体" w:hAnsi="Calibri" w:eastAsia="宋体" w:cs="Times New Roman"/>
      <w:sz w:val="21"/>
      <w:lang w:val="en-US" w:eastAsia="zh-CN" w:bidi="ar-SA"/>
    </w:rPr>
  </w:style>
  <w:style w:type="paragraph" w:customStyle="1" w:styleId="44">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Calibri" w:eastAsia="黑体" w:cs="Times New Roman"/>
      <w:spacing w:val="20"/>
      <w:w w:val="135"/>
      <w:kern w:val="0"/>
      <w:sz w:val="28"/>
      <w:szCs w:val="20"/>
    </w:rPr>
  </w:style>
  <w:style w:type="paragraph" w:customStyle="1" w:styleId="4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6">
    <w:name w:val="附录标识"/>
    <w:basedOn w:val="1"/>
    <w:next w:val="18"/>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hAnsi="Calibri" w:eastAsia="黑体" w:cs="Times New Roman"/>
      <w:kern w:val="0"/>
      <w:szCs w:val="20"/>
    </w:rPr>
  </w:style>
  <w:style w:type="paragraph" w:customStyle="1" w:styleId="47">
    <w:name w:val="附录章标题"/>
    <w:next w:val="18"/>
    <w:qFormat/>
    <w:uiPriority w:val="0"/>
    <w:pPr>
      <w:tabs>
        <w:tab w:val="left" w:pos="360"/>
        <w:tab w:val="left" w:pos="1260"/>
      </w:tabs>
      <w:wordWrap w:val="0"/>
      <w:overflowPunct w:val="0"/>
      <w:autoSpaceDE w:val="0"/>
      <w:spacing w:beforeLines="100" w:afterLines="100"/>
      <w:ind w:left="1259" w:hanging="419"/>
      <w:jc w:val="both"/>
      <w:textAlignment w:val="baseline"/>
      <w:outlineLvl w:val="1"/>
    </w:pPr>
    <w:rPr>
      <w:rFonts w:ascii="黑体" w:hAnsi="Calibri" w:eastAsia="黑体" w:cs="Times New Roman"/>
      <w:kern w:val="21"/>
      <w:sz w:val="21"/>
      <w:lang w:val="en-US" w:eastAsia="zh-CN" w:bidi="ar-SA"/>
    </w:rPr>
  </w:style>
  <w:style w:type="paragraph" w:customStyle="1" w:styleId="48">
    <w:name w:val="附录一级条标题"/>
    <w:basedOn w:val="47"/>
    <w:next w:val="18"/>
    <w:qFormat/>
    <w:uiPriority w:val="0"/>
    <w:pPr>
      <w:autoSpaceDN w:val="0"/>
      <w:spacing w:beforeLines="50" w:afterLines="50"/>
      <w:outlineLvl w:val="2"/>
    </w:pPr>
  </w:style>
  <w:style w:type="paragraph" w:customStyle="1" w:styleId="49">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50">
    <w:name w:val="其他实施日期"/>
    <w:basedOn w:val="1"/>
    <w:qFormat/>
    <w:uiPriority w:val="0"/>
    <w:pPr>
      <w:framePr w:w="3997" w:h="471" w:hRule="exact" w:vSpace="181" w:wrap="around" w:vAnchor="page" w:hAnchor="page" w:x="7089" w:y="14097" w:anchorLock="1"/>
      <w:widowControl/>
      <w:jc w:val="right"/>
    </w:pPr>
    <w:rPr>
      <w:rFonts w:ascii="Calibri" w:hAnsi="Calibri" w:eastAsia="黑体" w:cs="Times New Roman"/>
      <w:kern w:val="0"/>
      <w:sz w:val="28"/>
      <w:szCs w:val="20"/>
    </w:rPr>
  </w:style>
  <w:style w:type="paragraph" w:customStyle="1" w:styleId="51">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52">
    <w:name w:val="标准文件_附录二级条标题"/>
    <w:basedOn w:val="26"/>
    <w:next w:val="27"/>
    <w:qFormat/>
    <w:uiPriority w:val="0"/>
    <w:pPr>
      <w:widowControl/>
      <w:numPr>
        <w:ilvl w:val="2"/>
      </w:numPr>
      <w:wordWrap w:val="0"/>
      <w:overflowPunct w:val="0"/>
      <w:autoSpaceDE w:val="0"/>
      <w:autoSpaceDN w:val="0"/>
      <w:textAlignment w:val="baseline"/>
      <w:outlineLvl w:val="3"/>
    </w:pPr>
  </w:style>
  <w:style w:type="paragraph" w:customStyle="1" w:styleId="53">
    <w:name w:val="章标题"/>
    <w:next w:val="18"/>
    <w:qFormat/>
    <w:uiPriority w:val="0"/>
    <w:pPr>
      <w:spacing w:beforeLines="100" w:afterLines="100"/>
      <w:jc w:val="both"/>
      <w:outlineLvl w:val="1"/>
    </w:pPr>
    <w:rPr>
      <w:rFonts w:ascii="黑体" w:hAnsi="Calibri" w:eastAsia="黑体" w:cs="Times New Roman"/>
      <w:sz w:val="21"/>
      <w:lang w:val="en-US" w:eastAsia="zh-CN" w:bidi="ar-SA"/>
    </w:rPr>
  </w:style>
  <w:style w:type="paragraph" w:customStyle="1" w:styleId="54">
    <w:name w:val="前言、引言标题"/>
    <w:next w:val="18"/>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55">
    <w:name w:val="注×："/>
    <w:qFormat/>
    <w:uiPriority w:val="0"/>
    <w:pPr>
      <w:widowControl w:val="0"/>
      <w:tabs>
        <w:tab w:val="left" w:pos="720"/>
      </w:tabs>
      <w:autoSpaceDE w:val="0"/>
      <w:autoSpaceDN w:val="0"/>
      <w:ind w:left="720" w:hanging="720"/>
      <w:jc w:val="both"/>
    </w:pPr>
    <w:rPr>
      <w:rFonts w:ascii="宋体" w:hAnsi="Calibri" w:eastAsia="宋体" w:cs="Times New Roman"/>
      <w:sz w:val="18"/>
      <w:szCs w:val="18"/>
      <w:lang w:val="en-US" w:eastAsia="zh-CN" w:bidi="ar-SA"/>
    </w:rPr>
  </w:style>
  <w:style w:type="character" w:customStyle="1" w:styleId="56">
    <w:name w:val="批注框文本 字符"/>
    <w:basedOn w:val="13"/>
    <w:link w:val="6"/>
    <w:semiHidden/>
    <w:qFormat/>
    <w:uiPriority w:val="99"/>
    <w:rPr>
      <w:sz w:val="18"/>
      <w:szCs w:val="18"/>
    </w:rPr>
  </w:style>
  <w:style w:type="paragraph" w:customStyle="1" w:styleId="57">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9"/>
      <w:szCs w:val="19"/>
      <w:lang w:eastAsia="en-US"/>
    </w:rPr>
  </w:style>
  <w:style w:type="character" w:customStyle="1" w:styleId="58">
    <w:name w:val="二级条标题 Char"/>
    <w:link w:val="21"/>
    <w:qFormat/>
    <w:uiPriority w:val="0"/>
  </w:style>
  <w:style w:type="paragraph" w:customStyle="1" w:styleId="59">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60">
    <w:name w:val="一级标题"/>
    <w:basedOn w:val="1"/>
    <w:qFormat/>
    <w:uiPriority w:val="0"/>
    <w:pPr>
      <w:spacing w:before="100" w:beforeLines="100" w:after="100" w:afterLines="100"/>
      <w:outlineLvl w:val="1"/>
    </w:pPr>
    <w:rPr>
      <w:rFonts w:hint="eastAsia" w:ascii="黑体" w:hAnsi="黑体" w:eastAsia="黑体" w:cs="Times New Roman"/>
    </w:rPr>
  </w:style>
  <w:style w:type="paragraph" w:customStyle="1" w:styleId="61">
    <w:name w:val="二级标题"/>
    <w:basedOn w:val="1"/>
    <w:qFormat/>
    <w:uiPriority w:val="0"/>
    <w:pPr>
      <w:spacing w:before="50" w:beforeLines="50" w:after="50" w:afterLines="50"/>
      <w:outlineLvl w:val="2"/>
    </w:pPr>
    <w:rPr>
      <w:rFonts w:hint="eastAsia" w:ascii="黑体" w:hAnsi="黑体" w:eastAsia="黑体" w:cs="Times New Roman"/>
      <w:color w:val="000000"/>
      <w:szCs w:val="21"/>
    </w:rPr>
  </w:style>
  <w:style w:type="paragraph" w:styleId="62">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64003-4A74-4688-8D18-72DAF3432884}">
  <ds:schemaRefs/>
</ds:datastoreItem>
</file>

<file path=docProps/app.xml><?xml version="1.0" encoding="utf-8"?>
<Properties xmlns="http://schemas.openxmlformats.org/officeDocument/2006/extended-properties" xmlns:vt="http://schemas.openxmlformats.org/officeDocument/2006/docPropsVTypes">
  <Template>Normal</Template>
  <Pages>13</Pages>
  <Words>1911</Words>
  <Characters>2483</Characters>
  <Lines>298</Lines>
  <Paragraphs>321</Paragraphs>
  <TotalTime>0</TotalTime>
  <ScaleCrop>false</ScaleCrop>
  <LinksUpToDate>false</LinksUpToDate>
  <CharactersWithSpaces>2759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2024-05-21T08:43:00Z</dcterms:created>
  <dc:creator>王欣宇</dc:creator>
  <cp:lastModifiedBy>蒋晨</cp:lastModifiedBy>
  <cp:lastPrinted>2026-03-19T05:30:00Z</cp:lastPrinted>
  <dcterms:modified xsi:type="dcterms:W3CDTF">2026-07-13T15:31:02Z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022F90A75DFC41999338687E423C66FD_13</vt:lpwstr>
  </property>
  <property fmtid="{D5CDD505-2E9C-101B-9397-08002B2CF9AE}" pid="4" name="KSOTemplateDocerSaveRecord">
    <vt:lpwstr>eyJoZGlkIjoiNTEyNDFlODc0MzQyMzBjNGY2ZmQxNzkyYjdlMWVhYTgiLCJ1c2VySWQiOiIyNDEyMDM1NDEifQ==</vt:lpwstr>
  </property>
</Properties>
</file>